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F49E5" w14:textId="55D80084" w:rsidR="004E17B7" w:rsidRPr="0058017E" w:rsidRDefault="00AD11A8">
      <w:pPr>
        <w:spacing w:after="120"/>
        <w:ind w:left="720" w:hanging="720"/>
        <w:jc w:val="center"/>
        <w:rPr>
          <w:rFonts w:asciiTheme="minorHAnsi" w:eastAsia="Times New Roman" w:hAnsiTheme="minorHAnsi" w:cstheme="minorHAnsi"/>
          <w:b/>
        </w:rPr>
      </w:pPr>
      <w:r w:rsidRPr="0058017E">
        <w:rPr>
          <w:rFonts w:asciiTheme="minorHAnsi" w:eastAsia="Times New Roman" w:hAnsiTheme="minorHAnsi" w:cstheme="minorHAnsi"/>
          <w:b/>
        </w:rPr>
        <w:t xml:space="preserve">Questions </w:t>
      </w:r>
      <w:r w:rsidR="00D4186B" w:rsidRPr="0058017E">
        <w:rPr>
          <w:rFonts w:asciiTheme="minorHAnsi" w:eastAsia="Times New Roman" w:hAnsiTheme="minorHAnsi" w:cstheme="minorHAnsi"/>
          <w:b/>
        </w:rPr>
        <w:t>and Answers</w:t>
      </w:r>
      <w:r w:rsidR="005E297E" w:rsidRPr="0058017E">
        <w:rPr>
          <w:rFonts w:asciiTheme="minorHAnsi" w:eastAsia="Times New Roman" w:hAnsiTheme="minorHAnsi" w:cstheme="minorHAnsi"/>
          <w:b/>
        </w:rPr>
        <w:t xml:space="preserve"> </w:t>
      </w:r>
    </w:p>
    <w:p w14:paraId="3D3E7477" w14:textId="1B113F9D" w:rsidR="001E5DF8" w:rsidRPr="0058017E" w:rsidRDefault="001E5DF8" w:rsidP="002958A3">
      <w:pPr>
        <w:spacing w:after="120"/>
        <w:ind w:left="720" w:hanging="720"/>
        <w:jc w:val="center"/>
        <w:rPr>
          <w:rFonts w:asciiTheme="minorHAnsi" w:eastAsia="Times New Roman" w:hAnsiTheme="minorHAnsi" w:cstheme="minorHAnsi"/>
          <w:b/>
          <w:color w:val="231F20"/>
        </w:rPr>
      </w:pPr>
      <w:r w:rsidRPr="0058017E">
        <w:rPr>
          <w:rFonts w:asciiTheme="minorHAnsi" w:eastAsia="Times New Roman" w:hAnsiTheme="minorHAnsi" w:cstheme="minorBidi"/>
          <w:b/>
          <w:bCs/>
          <w:color w:val="231F20"/>
        </w:rPr>
        <w:t>RFP-27-0033 Training Faculty &amp; Consultant Pool</w:t>
      </w:r>
    </w:p>
    <w:p w14:paraId="76ADBC31" w14:textId="640EC29B" w:rsidR="36D35A46" w:rsidRPr="0058017E" w:rsidRDefault="36D35A46" w:rsidP="02AF4764">
      <w:pPr>
        <w:spacing w:after="120" w:line="259" w:lineRule="auto"/>
        <w:ind w:left="720" w:hanging="720"/>
        <w:jc w:val="center"/>
      </w:pPr>
      <w:r w:rsidRPr="0058017E">
        <w:rPr>
          <w:rFonts w:asciiTheme="minorHAnsi" w:eastAsia="Times New Roman" w:hAnsiTheme="minorHAnsi" w:cstheme="minorBidi"/>
          <w:b/>
          <w:bCs/>
          <w:color w:val="231F20"/>
        </w:rPr>
        <w:t>November 2, 2026</w:t>
      </w:r>
    </w:p>
    <w:p w14:paraId="2041DEFC" w14:textId="77777777" w:rsidR="003C7C2A" w:rsidRPr="0058017E" w:rsidRDefault="003C7C2A">
      <w:pPr>
        <w:rPr>
          <w:rFonts w:asciiTheme="minorHAnsi" w:eastAsia="Times New Roman" w:hAnsiTheme="minorHAnsi" w:cstheme="minorHAnsi"/>
        </w:rPr>
      </w:pPr>
    </w:p>
    <w:tbl>
      <w:tblPr>
        <w:tblW w:w="10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212"/>
        <w:gridCol w:w="4950"/>
      </w:tblGrid>
      <w:tr w:rsidR="00125808" w:rsidRPr="0058017E" w14:paraId="525C0D85" w14:textId="77777777" w:rsidTr="02AF4764">
        <w:trPr>
          <w:trHeight w:val="432"/>
          <w:tblHeader/>
        </w:trPr>
        <w:tc>
          <w:tcPr>
            <w:tcW w:w="5212" w:type="dxa"/>
            <w:shd w:val="clear" w:color="auto" w:fill="BDD6EE" w:themeFill="accent5" w:themeFillTint="66"/>
            <w:tcMar>
              <w:top w:w="0" w:type="dxa"/>
              <w:left w:w="108" w:type="dxa"/>
              <w:bottom w:w="0" w:type="dxa"/>
              <w:right w:w="108" w:type="dxa"/>
            </w:tcMar>
            <w:vAlign w:val="center"/>
            <w:hideMark/>
          </w:tcPr>
          <w:p w14:paraId="15021819" w14:textId="77777777" w:rsidR="00125808" w:rsidRPr="0058017E" w:rsidRDefault="00125808" w:rsidP="00C90EF1">
            <w:pPr>
              <w:jc w:val="center"/>
              <w:rPr>
                <w:rFonts w:asciiTheme="minorHAnsi" w:eastAsia="Times New Roman" w:hAnsiTheme="minorHAnsi" w:cstheme="minorHAnsi"/>
                <w:b/>
              </w:rPr>
            </w:pPr>
            <w:r w:rsidRPr="0058017E">
              <w:rPr>
                <w:rFonts w:asciiTheme="minorHAnsi" w:eastAsia="Times New Roman" w:hAnsiTheme="minorHAnsi" w:cstheme="minorHAnsi"/>
                <w:b/>
              </w:rPr>
              <w:t>Question</w:t>
            </w:r>
          </w:p>
        </w:tc>
        <w:tc>
          <w:tcPr>
            <w:tcW w:w="4950" w:type="dxa"/>
            <w:shd w:val="clear" w:color="auto" w:fill="BDD6EE" w:themeFill="accent5" w:themeFillTint="66"/>
            <w:tcMar>
              <w:top w:w="0" w:type="dxa"/>
              <w:left w:w="108" w:type="dxa"/>
              <w:bottom w:w="0" w:type="dxa"/>
              <w:right w:w="108" w:type="dxa"/>
            </w:tcMar>
            <w:vAlign w:val="center"/>
            <w:hideMark/>
          </w:tcPr>
          <w:p w14:paraId="0C6323AB" w14:textId="02CF59D7" w:rsidR="00125808" w:rsidRPr="0058017E" w:rsidRDefault="00125808" w:rsidP="00C90EF1">
            <w:pPr>
              <w:jc w:val="center"/>
              <w:rPr>
                <w:rFonts w:asciiTheme="minorHAnsi" w:eastAsia="Times New Roman" w:hAnsiTheme="minorHAnsi" w:cstheme="minorHAnsi"/>
                <w:b/>
              </w:rPr>
            </w:pPr>
            <w:r w:rsidRPr="0058017E">
              <w:rPr>
                <w:rFonts w:asciiTheme="minorHAnsi" w:eastAsia="Times New Roman" w:hAnsiTheme="minorHAnsi" w:cstheme="minorHAnsi"/>
                <w:b/>
              </w:rPr>
              <w:t>Answer</w:t>
            </w:r>
          </w:p>
        </w:tc>
      </w:tr>
      <w:tr w:rsidR="001E5DF8" w:rsidRPr="0058017E" w14:paraId="4F3688C3" w14:textId="77777777" w:rsidTr="02AF4764">
        <w:tc>
          <w:tcPr>
            <w:tcW w:w="5212" w:type="dxa"/>
            <w:tcMar>
              <w:top w:w="0" w:type="dxa"/>
              <w:left w:w="108" w:type="dxa"/>
              <w:bottom w:w="0" w:type="dxa"/>
              <w:right w:w="108" w:type="dxa"/>
            </w:tcMar>
          </w:tcPr>
          <w:p w14:paraId="5FDD53FF" w14:textId="345ABA9A"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 xml:space="preserve">Video Submission (Section M: 25 Points): Is there a preferred video length, format, or </w:t>
            </w:r>
            <w:commentRangeStart w:id="0"/>
            <w:r w:rsidRPr="0058017E">
              <w:t>specific</w:t>
            </w:r>
            <w:commentRangeEnd w:id="0"/>
            <w:r w:rsidRPr="0058017E">
              <w:rPr>
                <w:rStyle w:val="CommentReference"/>
                <w:sz w:val="22"/>
                <w:szCs w:val="22"/>
              </w:rPr>
              <w:commentReference w:id="0"/>
            </w:r>
            <w:r w:rsidRPr="0058017E">
              <w:t xml:space="preserve"> content requirement? Should the submission consist of a recorded instructional demonstration featuring the proposed key personnel?</w:t>
            </w:r>
          </w:p>
        </w:tc>
        <w:tc>
          <w:tcPr>
            <w:tcW w:w="4950" w:type="dxa"/>
            <w:tcMar>
              <w:top w:w="0" w:type="dxa"/>
              <w:left w:w="108" w:type="dxa"/>
              <w:bottom w:w="0" w:type="dxa"/>
              <w:right w:w="108" w:type="dxa"/>
            </w:tcMar>
          </w:tcPr>
          <w:p w14:paraId="31BABF53" w14:textId="3640DFF7" w:rsidR="001E5DF8" w:rsidRPr="0058017E" w:rsidRDefault="7E8C60B2" w:rsidP="02AF4764">
            <w:pPr>
              <w:spacing w:before="240" w:after="240"/>
            </w:pPr>
            <w:r w:rsidRPr="0058017E">
              <w:t>Per Attachment C, submit one video, 3–5 minutes; videos over 5 minutes will not be reviewed in full.</w:t>
            </w:r>
          </w:p>
          <w:p w14:paraId="648D91C9" w14:textId="35EEF7A1" w:rsidR="001E5DF8" w:rsidRPr="0058017E" w:rsidRDefault="7E8C60B2" w:rsidP="02AF4764">
            <w:pPr>
              <w:pStyle w:val="ListParagraph"/>
              <w:numPr>
                <w:ilvl w:val="0"/>
                <w:numId w:val="1"/>
              </w:numPr>
            </w:pPr>
            <w:r w:rsidRPr="0058017E">
              <w:rPr>
                <w:b/>
                <w:bCs/>
              </w:rPr>
              <w:t>Format:</w:t>
            </w:r>
            <w:r w:rsidRPr="0058017E">
              <w:t xml:space="preserve"> any standard file (MP4, MOV, AVI, WEBM, etc.) or a link via YouTube, Vimeo, Google Drive, Dropbox, or Loom, set to ‘anyone with the link can view.’ Private or restricted links will not be reviewed, and NeighborWorks will not follow up.</w:t>
            </w:r>
          </w:p>
          <w:p w14:paraId="49C70306" w14:textId="196D8BE6" w:rsidR="001E5DF8" w:rsidRPr="0058017E" w:rsidRDefault="7E8C60B2" w:rsidP="02AF4764">
            <w:pPr>
              <w:pStyle w:val="ListParagraph"/>
              <w:numPr>
                <w:ilvl w:val="0"/>
                <w:numId w:val="1"/>
              </w:numPr>
            </w:pPr>
            <w:r w:rsidRPr="0058017E">
              <w:rPr>
                <w:b/>
                <w:bCs/>
              </w:rPr>
              <w:t>Content:</w:t>
            </w:r>
            <w:r w:rsidRPr="0058017E">
              <w:t xml:space="preserve"> pick one area where you have hands-on expertise, briefly describe your experience, then explain the biggest way that area will need to change in the next 5–7 years and why you are positioned to teach it.</w:t>
            </w:r>
          </w:p>
          <w:p w14:paraId="55406847" w14:textId="7E427267" w:rsidR="001E5DF8" w:rsidRPr="0058017E" w:rsidRDefault="7E8C60B2" w:rsidP="02AF4764">
            <w:pPr>
              <w:pStyle w:val="ListParagraph"/>
              <w:numPr>
                <w:ilvl w:val="0"/>
                <w:numId w:val="1"/>
              </w:numPr>
            </w:pPr>
            <w:r w:rsidRPr="0058017E">
              <w:rPr>
                <w:b/>
                <w:bCs/>
              </w:rPr>
              <w:t>Delivery:</w:t>
            </w:r>
            <w:r w:rsidRPr="0058017E">
              <w:t xml:space="preserve"> speak from notes, not a script. A phone recording is acceptable; production value is not evaluated.</w:t>
            </w:r>
          </w:p>
          <w:p w14:paraId="565EFB70" w14:textId="1C1E051F" w:rsidR="001E5DF8" w:rsidRPr="0058017E" w:rsidRDefault="001E5DF8" w:rsidP="02AF4764">
            <w:pPr>
              <w:rPr>
                <w:rFonts w:asciiTheme="minorHAnsi" w:hAnsiTheme="minorHAnsi" w:cstheme="minorBidi"/>
              </w:rPr>
            </w:pPr>
          </w:p>
          <w:p w14:paraId="3FA59AF5" w14:textId="290FE13A" w:rsidR="001E5DF8" w:rsidRPr="0058017E" w:rsidRDefault="7E8C60B2" w:rsidP="001E5DF8">
            <w:r w:rsidRPr="0058017E">
              <w:rPr>
                <w:rFonts w:asciiTheme="minorHAnsi" w:hAnsiTheme="minorHAnsi" w:cstheme="minorBidi"/>
              </w:rPr>
              <w:t xml:space="preserve">The submission does not ask for a recorded instructional </w:t>
            </w:r>
            <w:r w:rsidR="22399115" w:rsidRPr="0058017E">
              <w:rPr>
                <w:rFonts w:asciiTheme="minorHAnsi" w:hAnsiTheme="minorHAnsi" w:cstheme="minorBidi"/>
              </w:rPr>
              <w:t>demonstration</w:t>
            </w:r>
            <w:r w:rsidRPr="0058017E">
              <w:rPr>
                <w:rFonts w:asciiTheme="minorHAnsi" w:hAnsiTheme="minorHAnsi" w:cstheme="minorBidi"/>
              </w:rPr>
              <w:t>.</w:t>
            </w:r>
          </w:p>
        </w:tc>
      </w:tr>
      <w:tr w:rsidR="001E5DF8" w:rsidRPr="0058017E" w14:paraId="3BB79960" w14:textId="77777777" w:rsidTr="02AF4764">
        <w:tc>
          <w:tcPr>
            <w:tcW w:w="5212" w:type="dxa"/>
            <w:tcMar>
              <w:top w:w="0" w:type="dxa"/>
              <w:left w:w="108" w:type="dxa"/>
              <w:bottom w:w="0" w:type="dxa"/>
              <w:right w:w="108" w:type="dxa"/>
            </w:tcMar>
          </w:tcPr>
          <w:p w14:paraId="2D2B42EA" w14:textId="17B57898"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Multiple Key Personnel: If a firm proposes more than one key personnel, should the Course Delivery and Course Development experience reflect the combined qualifications of all proposed individuals, or only those of Key Personnel 1?</w:t>
            </w:r>
          </w:p>
        </w:tc>
        <w:tc>
          <w:tcPr>
            <w:tcW w:w="4950" w:type="dxa"/>
            <w:tcMar>
              <w:top w:w="0" w:type="dxa"/>
              <w:left w:w="108" w:type="dxa"/>
              <w:bottom w:w="0" w:type="dxa"/>
              <w:right w:w="108" w:type="dxa"/>
            </w:tcMar>
          </w:tcPr>
          <w:p w14:paraId="6FB2DC3A" w14:textId="01EAE929" w:rsidR="001E5DF8" w:rsidRPr="0058017E" w:rsidRDefault="20FFD595" w:rsidP="001E5DF8">
            <w:r w:rsidRPr="0058017E">
              <w:rPr>
                <w:rFonts w:asciiTheme="minorHAnsi" w:hAnsiTheme="minorHAnsi" w:cstheme="minorBidi"/>
              </w:rPr>
              <w:t>Only Key Personnel 1.</w:t>
            </w:r>
          </w:p>
        </w:tc>
      </w:tr>
      <w:tr w:rsidR="001E5DF8" w:rsidRPr="0058017E" w14:paraId="7B47370A" w14:textId="77777777" w:rsidTr="02AF4764">
        <w:tc>
          <w:tcPr>
            <w:tcW w:w="5212" w:type="dxa"/>
            <w:tcMar>
              <w:top w:w="0" w:type="dxa"/>
              <w:left w:w="108" w:type="dxa"/>
              <w:bottom w:w="0" w:type="dxa"/>
              <w:right w:w="108" w:type="dxa"/>
            </w:tcMar>
          </w:tcPr>
          <w:p w14:paraId="1F1A1D51" w14:textId="27E02DBF" w:rsidR="001E5DF8" w:rsidRPr="0058017E" w:rsidRDefault="0D39E3EE" w:rsidP="79BE276B">
            <w:pPr>
              <w:pStyle w:val="ListParagraph"/>
              <w:numPr>
                <w:ilvl w:val="0"/>
                <w:numId w:val="21"/>
              </w:numPr>
              <w:spacing w:after="120"/>
              <w:ind w:left="360"/>
              <w:rPr>
                <w:rFonts w:asciiTheme="minorHAnsi" w:hAnsiTheme="minorHAnsi" w:cstheme="minorBidi"/>
              </w:rPr>
            </w:pPr>
            <w:r w:rsidRPr="0058017E">
              <w:t>Independent Contractors: If proposed key personnel are engaged as independent contractors rather than direct employees of the offeror, is subcontractor approval required at the time of proposal submission or only following contract award?</w:t>
            </w:r>
          </w:p>
        </w:tc>
        <w:tc>
          <w:tcPr>
            <w:tcW w:w="4950" w:type="dxa"/>
            <w:tcMar>
              <w:top w:w="0" w:type="dxa"/>
              <w:left w:w="108" w:type="dxa"/>
              <w:bottom w:w="0" w:type="dxa"/>
              <w:right w:w="108" w:type="dxa"/>
            </w:tcMar>
          </w:tcPr>
          <w:p w14:paraId="47E36FDC" w14:textId="60F629D6" w:rsidR="001E5DF8" w:rsidRPr="0058017E" w:rsidRDefault="32F12561" w:rsidP="79BE276B">
            <w:pPr>
              <w:spacing w:line="259" w:lineRule="auto"/>
              <w:contextualSpacing/>
              <w:rPr>
                <w:rFonts w:asciiTheme="minorHAnsi" w:hAnsiTheme="minorHAnsi" w:cstheme="minorBidi"/>
              </w:rPr>
            </w:pPr>
            <w:r w:rsidRPr="0058017E">
              <w:rPr>
                <w:rFonts w:asciiTheme="minorHAnsi" w:hAnsiTheme="minorHAnsi" w:cstheme="minorBidi"/>
              </w:rPr>
              <w:t xml:space="preserve">NW </w:t>
            </w:r>
            <w:r w:rsidR="469A0D2E" w:rsidRPr="0058017E">
              <w:rPr>
                <w:rFonts w:asciiTheme="minorHAnsi" w:hAnsiTheme="minorHAnsi" w:cstheme="minorBidi"/>
              </w:rPr>
              <w:t xml:space="preserve">will consider approval at the </w:t>
            </w:r>
            <w:r w:rsidR="50D27F7D" w:rsidRPr="0058017E">
              <w:rPr>
                <w:rFonts w:asciiTheme="minorHAnsi" w:hAnsiTheme="minorHAnsi" w:cstheme="minorBidi"/>
              </w:rPr>
              <w:t>time of</w:t>
            </w:r>
            <w:r w:rsidR="469A0D2E" w:rsidRPr="0058017E">
              <w:rPr>
                <w:rFonts w:asciiTheme="minorHAnsi" w:hAnsiTheme="minorHAnsi" w:cstheme="minorBidi"/>
              </w:rPr>
              <w:t xml:space="preserve"> proposal submission.</w:t>
            </w:r>
            <w:r w:rsidRPr="0058017E">
              <w:rPr>
                <w:rFonts w:asciiTheme="minorHAnsi" w:hAnsiTheme="minorHAnsi" w:cstheme="minorBidi"/>
              </w:rPr>
              <w:t xml:space="preserve"> However, NeighborWorks America does not engage with subcontractors. Any failure from the subcontractor, the prime contractor will be responsible.</w:t>
            </w:r>
          </w:p>
        </w:tc>
      </w:tr>
      <w:tr w:rsidR="001E5DF8" w:rsidRPr="0058017E" w14:paraId="68C47CB3" w14:textId="77777777" w:rsidTr="02AF4764">
        <w:tc>
          <w:tcPr>
            <w:tcW w:w="5212" w:type="dxa"/>
            <w:tcMar>
              <w:top w:w="0" w:type="dxa"/>
              <w:left w:w="108" w:type="dxa"/>
              <w:bottom w:w="0" w:type="dxa"/>
              <w:right w:w="108" w:type="dxa"/>
            </w:tcMar>
          </w:tcPr>
          <w:p w14:paraId="76177EF4" w14:textId="5E47B9A6"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 xml:space="preserve">Relevant Training Experience: May courses delivered outside the housing and community development sector, such as nonprofit leadership, strategic communications, workforce development, </w:t>
            </w:r>
            <w:r w:rsidRPr="0058017E">
              <w:lastRenderedPageBreak/>
              <w:t>and responsible artificial intelligence (AI) applications, be included as qualifying experience under Course Delivery and Course Development?</w:t>
            </w:r>
          </w:p>
        </w:tc>
        <w:tc>
          <w:tcPr>
            <w:tcW w:w="4950" w:type="dxa"/>
            <w:tcMar>
              <w:top w:w="0" w:type="dxa"/>
              <w:left w:w="108" w:type="dxa"/>
              <w:bottom w:w="0" w:type="dxa"/>
              <w:right w:w="108" w:type="dxa"/>
            </w:tcMar>
          </w:tcPr>
          <w:p w14:paraId="7E6E4E73" w14:textId="72C25175" w:rsidR="001E5DF8" w:rsidRPr="0058017E" w:rsidRDefault="578694CA" w:rsidP="02AF4764">
            <w:r w:rsidRPr="0058017E">
              <w:lastRenderedPageBreak/>
              <w:t>References must relate to at least one NeighborWorks technical track (Attachment C).  The experience</w:t>
            </w:r>
            <w:r w:rsidR="77C71DD3" w:rsidRPr="0058017E">
              <w:t>s</w:t>
            </w:r>
            <w:r w:rsidRPr="0058017E">
              <w:t xml:space="preserve"> listed in the question </w:t>
            </w:r>
            <w:r w:rsidR="4B28E125" w:rsidRPr="0058017E">
              <w:t>q</w:t>
            </w:r>
            <w:r w:rsidRPr="0058017E">
              <w:t>ualify.</w:t>
            </w:r>
          </w:p>
        </w:tc>
      </w:tr>
      <w:tr w:rsidR="003C7C2A" w:rsidRPr="0058017E" w14:paraId="5F540C50" w14:textId="77777777" w:rsidTr="02AF4764">
        <w:tc>
          <w:tcPr>
            <w:tcW w:w="5212" w:type="dxa"/>
            <w:tcMar>
              <w:top w:w="0" w:type="dxa"/>
              <w:left w:w="108" w:type="dxa"/>
              <w:bottom w:w="0" w:type="dxa"/>
              <w:right w:w="108" w:type="dxa"/>
            </w:tcMar>
          </w:tcPr>
          <w:p w14:paraId="4F8E9DCF" w14:textId="541EC75A" w:rsidR="003C7C2A" w:rsidRPr="0058017E" w:rsidRDefault="001E5DF8" w:rsidP="003C7C2A">
            <w:pPr>
              <w:pStyle w:val="ListParagraph"/>
              <w:numPr>
                <w:ilvl w:val="0"/>
                <w:numId w:val="21"/>
              </w:numPr>
              <w:spacing w:after="120"/>
              <w:ind w:left="360"/>
              <w:rPr>
                <w:rFonts w:asciiTheme="minorHAnsi" w:hAnsiTheme="minorHAnsi" w:cstheme="minorHAnsi"/>
              </w:rPr>
            </w:pPr>
            <w:r w:rsidRPr="0058017E">
              <w:rPr>
                <w:rFonts w:asciiTheme="minorHAnsi" w:hAnsiTheme="minorHAnsi" w:cstheme="minorHAnsi"/>
              </w:rPr>
              <w:t>Is a SAM.gov Unique Entity ID (UEI) required for individual sole-proprietor consultants, or is it optional for this solicitation?</w:t>
            </w:r>
          </w:p>
        </w:tc>
        <w:tc>
          <w:tcPr>
            <w:tcW w:w="4950" w:type="dxa"/>
            <w:tcMar>
              <w:top w:w="0" w:type="dxa"/>
              <w:left w:w="108" w:type="dxa"/>
              <w:bottom w:w="0" w:type="dxa"/>
              <w:right w:w="108" w:type="dxa"/>
            </w:tcMar>
          </w:tcPr>
          <w:p w14:paraId="51A69767" w14:textId="7F556C89" w:rsidR="003C7C2A" w:rsidRPr="0058017E" w:rsidRDefault="4CA290C0" w:rsidP="003C7C2A">
            <w:r w:rsidRPr="0058017E">
              <w:rPr>
                <w:rFonts w:asciiTheme="minorHAnsi" w:hAnsiTheme="minorHAnsi" w:cstheme="minorBidi"/>
              </w:rPr>
              <w:t>Offerors are not required to have an active SAM.gov registration at the time of proposal submission. However, a selected consultant will go through a verification process prior to contract execution.</w:t>
            </w:r>
          </w:p>
          <w:p w14:paraId="3368419A" w14:textId="06A00E1F" w:rsidR="003C7C2A" w:rsidRPr="0058017E" w:rsidRDefault="4CA290C0" w:rsidP="79BE276B">
            <w:r w:rsidRPr="0058017E">
              <w:rPr>
                <w:rFonts w:asciiTheme="minorHAnsi" w:hAnsiTheme="minorHAnsi" w:cstheme="minorBidi"/>
              </w:rPr>
              <w:t xml:space="preserve"> </w:t>
            </w:r>
          </w:p>
          <w:p w14:paraId="473B7572" w14:textId="067D3664" w:rsidR="003C7C2A" w:rsidRPr="0058017E" w:rsidRDefault="4CA290C0" w:rsidP="79BE276B">
            <w:r w:rsidRPr="0058017E">
              <w:rPr>
                <w:rFonts w:asciiTheme="minorHAnsi" w:hAnsiTheme="minorHAnsi" w:cstheme="minorBidi"/>
              </w:rPr>
              <w:t>Offerors are encouraged to provide their UEI, if already available, in their proposal.</w:t>
            </w:r>
          </w:p>
          <w:p w14:paraId="2D48DD06" w14:textId="54B4F40D" w:rsidR="003C7C2A" w:rsidRPr="0058017E" w:rsidRDefault="003C7C2A" w:rsidP="79BE276B">
            <w:pPr>
              <w:rPr>
                <w:rFonts w:asciiTheme="minorHAnsi" w:hAnsiTheme="minorHAnsi" w:cstheme="minorBidi"/>
              </w:rPr>
            </w:pPr>
          </w:p>
        </w:tc>
      </w:tr>
      <w:tr w:rsidR="003C7C2A" w:rsidRPr="0058017E" w14:paraId="161A199F" w14:textId="77777777" w:rsidTr="02AF4764">
        <w:tc>
          <w:tcPr>
            <w:tcW w:w="5212" w:type="dxa"/>
            <w:tcMar>
              <w:top w:w="0" w:type="dxa"/>
              <w:left w:w="108" w:type="dxa"/>
              <w:bottom w:w="0" w:type="dxa"/>
              <w:right w:w="108" w:type="dxa"/>
            </w:tcMar>
          </w:tcPr>
          <w:p w14:paraId="366950CC" w14:textId="07E9DEC0" w:rsidR="003C7C2A" w:rsidRPr="0058017E" w:rsidRDefault="001E5DF8" w:rsidP="02AF4764">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For online course development, does NeighborWorks require a specific authoring tool or LMS standard (for example, SCORM packages for its existing platform), or may proposers recommend one?</w:t>
            </w:r>
          </w:p>
        </w:tc>
        <w:tc>
          <w:tcPr>
            <w:tcW w:w="4950" w:type="dxa"/>
            <w:tcMar>
              <w:top w:w="0" w:type="dxa"/>
              <w:left w:w="108" w:type="dxa"/>
              <w:bottom w:w="0" w:type="dxa"/>
              <w:right w:w="108" w:type="dxa"/>
            </w:tcMar>
          </w:tcPr>
          <w:p w14:paraId="014D85FE" w14:textId="4C0CF4DA" w:rsidR="003C7C2A" w:rsidRPr="0058017E" w:rsidRDefault="4FC1D843" w:rsidP="02AF4764">
            <w:pPr>
              <w:rPr>
                <w:rFonts w:asciiTheme="minorHAnsi" w:hAnsiTheme="minorHAnsi" w:cstheme="minorBidi"/>
              </w:rPr>
            </w:pPr>
            <w:r w:rsidRPr="0058017E">
              <w:rPr>
                <w:rFonts w:asciiTheme="minorHAnsi" w:hAnsiTheme="minorHAnsi" w:cstheme="minorBidi"/>
              </w:rPr>
              <w:t xml:space="preserve">NeighborWorks does not require a specific authoring tool or standards.  </w:t>
            </w:r>
            <w:r w:rsidR="05051A33" w:rsidRPr="0058017E">
              <w:rPr>
                <w:rFonts w:asciiTheme="minorHAnsi" w:hAnsiTheme="minorHAnsi" w:cstheme="minorBidi"/>
              </w:rPr>
              <w:t>Our faculty members collaborate with instructional designers to design our online courses</w:t>
            </w:r>
            <w:r w:rsidR="19F5F3F0" w:rsidRPr="0058017E">
              <w:rPr>
                <w:rFonts w:asciiTheme="minorHAnsi" w:hAnsiTheme="minorHAnsi" w:cstheme="minorBidi"/>
              </w:rPr>
              <w:t>.</w:t>
            </w:r>
            <w:commentRangeStart w:id="1"/>
            <w:commentRangeEnd w:id="1"/>
            <w:r w:rsidR="003C7C2A" w:rsidRPr="0058017E">
              <w:rPr>
                <w:rStyle w:val="CommentReference"/>
                <w:rFonts w:asciiTheme="minorHAnsi" w:hAnsiTheme="minorHAnsi" w:cstheme="minorBidi"/>
                <w:sz w:val="22"/>
                <w:szCs w:val="22"/>
              </w:rPr>
              <w:commentReference w:id="1"/>
            </w:r>
          </w:p>
        </w:tc>
      </w:tr>
      <w:tr w:rsidR="001E5DF8" w:rsidRPr="0058017E" w14:paraId="4A3ACB31" w14:textId="77777777" w:rsidTr="02AF4764">
        <w:tc>
          <w:tcPr>
            <w:tcW w:w="5212" w:type="dxa"/>
            <w:tcMar>
              <w:top w:w="0" w:type="dxa"/>
              <w:left w:w="108" w:type="dxa"/>
              <w:bottom w:w="0" w:type="dxa"/>
              <w:right w:w="108" w:type="dxa"/>
            </w:tcMar>
          </w:tcPr>
          <w:p w14:paraId="0C7153E4" w14:textId="352DE5FC" w:rsidR="001E5DF8" w:rsidRPr="0058017E" w:rsidRDefault="001E5DF8" w:rsidP="02AF4764">
            <w:pPr>
              <w:pStyle w:val="ListParagraph"/>
              <w:numPr>
                <w:ilvl w:val="0"/>
                <w:numId w:val="21"/>
              </w:numPr>
              <w:spacing w:after="120"/>
              <w:ind w:left="360"/>
              <w:rPr>
                <w:rFonts w:asciiTheme="minorHAnsi" w:hAnsiTheme="minorHAnsi" w:cstheme="minorBidi"/>
              </w:rPr>
            </w:pPr>
            <w:commentRangeStart w:id="3"/>
            <w:commentRangeStart w:id="4"/>
            <w:r w:rsidRPr="0058017E">
              <w:t>Are Canadian organizations and Canada-based instructors eligible to apply for exclusively online assignments, with no requirement to travel to the US? Would online teaching use NeighborWorks’ platforms?</w:t>
            </w:r>
            <w:commentRangeEnd w:id="3"/>
            <w:r w:rsidRPr="0058017E">
              <w:rPr>
                <w:rStyle w:val="CommentReference"/>
                <w:rFonts w:asciiTheme="minorHAnsi" w:hAnsiTheme="minorHAnsi" w:cstheme="minorBidi"/>
                <w:sz w:val="22"/>
                <w:szCs w:val="22"/>
              </w:rPr>
              <w:commentReference w:id="3"/>
            </w:r>
            <w:commentRangeEnd w:id="4"/>
            <w:r w:rsidRPr="0058017E">
              <w:rPr>
                <w:rStyle w:val="CommentReference"/>
                <w:rFonts w:asciiTheme="minorHAnsi" w:hAnsiTheme="minorHAnsi" w:cstheme="minorBidi"/>
                <w:sz w:val="22"/>
                <w:szCs w:val="22"/>
              </w:rPr>
              <w:commentReference w:id="4"/>
            </w:r>
          </w:p>
        </w:tc>
        <w:tc>
          <w:tcPr>
            <w:tcW w:w="4950" w:type="dxa"/>
            <w:tcMar>
              <w:top w:w="0" w:type="dxa"/>
              <w:left w:w="108" w:type="dxa"/>
              <w:bottom w:w="0" w:type="dxa"/>
              <w:right w:w="108" w:type="dxa"/>
            </w:tcMar>
          </w:tcPr>
          <w:p w14:paraId="1535428A" w14:textId="121E996B" w:rsidR="001E5DF8" w:rsidRPr="0058017E" w:rsidRDefault="35B22ED7" w:rsidP="02AF4764">
            <w:r w:rsidRPr="0058017E">
              <w:t>Canada-based instructors may be eligible for virtual teaching assignments, provided their business is based in the United States and meets applicable vendor requirements. There is no legal restriction on engaging instructors who reside outside the U.S. However, travel from another country to the U.S. would not be covered.</w:t>
            </w:r>
          </w:p>
          <w:p w14:paraId="3617EDE7" w14:textId="28D84363" w:rsidR="001E5DF8" w:rsidRPr="0058017E" w:rsidRDefault="001E5DF8" w:rsidP="02AF4764"/>
          <w:p w14:paraId="72ABF74A" w14:textId="1D8CC08B" w:rsidR="001E5DF8" w:rsidRPr="0058017E" w:rsidRDefault="35B22ED7" w:rsidP="02AF4764">
            <w:r w:rsidRPr="0058017E">
              <w:t xml:space="preserve">NeighborWorks America decides </w:t>
            </w:r>
            <w:r w:rsidR="0E6CB0AE" w:rsidRPr="0058017E">
              <w:t>on the online learning platform and provide</w:t>
            </w:r>
            <w:r w:rsidR="4EDB7576" w:rsidRPr="0058017E">
              <w:t xml:space="preserve">s </w:t>
            </w:r>
            <w:r w:rsidR="0E6CB0AE" w:rsidRPr="0058017E">
              <w:t>the platform for use.</w:t>
            </w:r>
          </w:p>
        </w:tc>
      </w:tr>
      <w:tr w:rsidR="001E5DF8" w:rsidRPr="0058017E" w14:paraId="0364512F" w14:textId="77777777" w:rsidTr="02AF4764">
        <w:tc>
          <w:tcPr>
            <w:tcW w:w="5212" w:type="dxa"/>
            <w:tcMar>
              <w:top w:w="0" w:type="dxa"/>
              <w:left w:w="108" w:type="dxa"/>
              <w:bottom w:w="0" w:type="dxa"/>
              <w:right w:w="108" w:type="dxa"/>
            </w:tcMar>
          </w:tcPr>
          <w:p w14:paraId="4DBB899A" w14:textId="2D35997B"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Would our background in negotiation and conflict-management training be appropriate for the Non-Profit Management and Leadership track, where our expertise is in these transferable skills rather than US housing policy?</w:t>
            </w:r>
          </w:p>
        </w:tc>
        <w:tc>
          <w:tcPr>
            <w:tcW w:w="4950" w:type="dxa"/>
            <w:tcMar>
              <w:top w:w="0" w:type="dxa"/>
              <w:left w:w="108" w:type="dxa"/>
              <w:bottom w:w="0" w:type="dxa"/>
              <w:right w:w="108" w:type="dxa"/>
            </w:tcMar>
          </w:tcPr>
          <w:p w14:paraId="2E9ACAD6" w14:textId="35345272" w:rsidR="001E5DF8" w:rsidRPr="0058017E" w:rsidRDefault="30292BB4" w:rsidP="001E5DF8">
            <w:r w:rsidRPr="0058017E">
              <w:rPr>
                <w:rFonts w:asciiTheme="minorHAnsi" w:hAnsiTheme="minorHAnsi" w:cstheme="minorBidi"/>
              </w:rPr>
              <w:t>Yes</w:t>
            </w:r>
            <w:r w:rsidR="40CB390A" w:rsidRPr="0058017E">
              <w:rPr>
                <w:rFonts w:asciiTheme="minorHAnsi" w:hAnsiTheme="minorHAnsi" w:cstheme="minorBidi"/>
              </w:rPr>
              <w:t>.</w:t>
            </w:r>
          </w:p>
        </w:tc>
      </w:tr>
      <w:tr w:rsidR="001E5DF8" w:rsidRPr="0058017E" w14:paraId="4892E0A2" w14:textId="77777777" w:rsidTr="02AF4764">
        <w:tc>
          <w:tcPr>
            <w:tcW w:w="5212" w:type="dxa"/>
            <w:tcMar>
              <w:top w:w="0" w:type="dxa"/>
              <w:left w:w="108" w:type="dxa"/>
              <w:bottom w:w="0" w:type="dxa"/>
              <w:right w:w="108" w:type="dxa"/>
            </w:tcMar>
          </w:tcPr>
          <w:p w14:paraId="68D216A1" w14:textId="7C4DD594"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Can applicants be considered for online course delivery alone? If so, how is the course-development portion of the evaluation handled?</w:t>
            </w:r>
          </w:p>
        </w:tc>
        <w:tc>
          <w:tcPr>
            <w:tcW w:w="4950" w:type="dxa"/>
            <w:tcMar>
              <w:top w:w="0" w:type="dxa"/>
              <w:left w:w="108" w:type="dxa"/>
              <w:bottom w:w="0" w:type="dxa"/>
              <w:right w:w="108" w:type="dxa"/>
            </w:tcMar>
          </w:tcPr>
          <w:p w14:paraId="0C6A6647" w14:textId="0A9B2BEC" w:rsidR="001E5DF8" w:rsidRPr="0058017E" w:rsidRDefault="3F3D0B5D" w:rsidP="001E5DF8">
            <w:r w:rsidRPr="0058017E">
              <w:rPr>
                <w:rFonts w:asciiTheme="minorHAnsi" w:hAnsiTheme="minorHAnsi" w:cstheme="minorBidi"/>
              </w:rPr>
              <w:t>Applicants may apply for one or more service categories, including online course delivery only. The evaluation assesses each applicant’s existing, demonstrated experience in the service categories selected. Applicants should mark categories they are not applying for as “N/A” on Attachment D.</w:t>
            </w:r>
          </w:p>
          <w:p w14:paraId="10B6C238" w14:textId="59224C10" w:rsidR="001E5DF8" w:rsidRPr="0058017E" w:rsidRDefault="3F3D0B5D" w:rsidP="02AF4764">
            <w:r w:rsidRPr="0058017E">
              <w:rPr>
                <w:rFonts w:asciiTheme="minorHAnsi" w:hAnsiTheme="minorHAnsi" w:cstheme="minorBidi"/>
              </w:rPr>
              <w:t xml:space="preserve"> </w:t>
            </w:r>
          </w:p>
          <w:p w14:paraId="5EBB0A9C" w14:textId="1AED99CB" w:rsidR="001E5DF8" w:rsidRPr="0058017E" w:rsidRDefault="3F3D0B5D" w:rsidP="02AF4764">
            <w:r w:rsidRPr="0058017E">
              <w:rPr>
                <w:rFonts w:asciiTheme="minorHAnsi" w:hAnsiTheme="minorHAnsi" w:cstheme="minorBidi"/>
              </w:rPr>
              <w:t xml:space="preserve">Selection into the faculty pool does not guarantee work in any service category. Work orders are issued based on NeighborWorks’ training needs and the </w:t>
            </w:r>
            <w:r w:rsidRPr="0058017E">
              <w:rPr>
                <w:rFonts w:asciiTheme="minorHAnsi" w:hAnsiTheme="minorHAnsi" w:cstheme="minorBidi"/>
              </w:rPr>
              <w:lastRenderedPageBreak/>
              <w:t>availability of contracted faculty qualified to perform the work successfully.</w:t>
            </w:r>
          </w:p>
        </w:tc>
      </w:tr>
      <w:tr w:rsidR="001E5DF8" w:rsidRPr="0058017E" w14:paraId="1944AE24" w14:textId="77777777" w:rsidTr="02AF4764">
        <w:tc>
          <w:tcPr>
            <w:tcW w:w="5212" w:type="dxa"/>
            <w:tcMar>
              <w:top w:w="0" w:type="dxa"/>
              <w:left w:w="108" w:type="dxa"/>
              <w:bottom w:w="0" w:type="dxa"/>
              <w:right w:w="108" w:type="dxa"/>
            </w:tcMar>
          </w:tcPr>
          <w:p w14:paraId="16B01D50" w14:textId="51077D0F" w:rsidR="001E5DF8" w:rsidRPr="0058017E" w:rsidRDefault="0D39E3EE" w:rsidP="79BE276B">
            <w:pPr>
              <w:pStyle w:val="ListParagraph"/>
              <w:numPr>
                <w:ilvl w:val="0"/>
                <w:numId w:val="21"/>
              </w:numPr>
              <w:spacing w:after="120"/>
              <w:ind w:left="360"/>
              <w:rPr>
                <w:rFonts w:asciiTheme="minorHAnsi" w:hAnsiTheme="minorHAnsi" w:cstheme="minorBidi"/>
              </w:rPr>
            </w:pPr>
            <w:commentRangeStart w:id="5"/>
            <w:r w:rsidRPr="0058017E">
              <w:lastRenderedPageBreak/>
              <w:t>For an eligible Canadian provider, what alternatives apply to the W-9 and US banking requirements, and must a SAM.gov Unique Entity ID be obtained before submitting?</w:t>
            </w:r>
            <w:commentRangeEnd w:id="5"/>
            <w:r w:rsidR="001E5DF8" w:rsidRPr="0058017E">
              <w:rPr>
                <w:rStyle w:val="CommentReference"/>
                <w:rFonts w:asciiTheme="minorHAnsi" w:hAnsiTheme="minorHAnsi" w:cstheme="minorBidi"/>
                <w:sz w:val="22"/>
                <w:szCs w:val="22"/>
              </w:rPr>
              <w:commentReference w:id="5"/>
            </w:r>
          </w:p>
        </w:tc>
        <w:tc>
          <w:tcPr>
            <w:tcW w:w="4950" w:type="dxa"/>
            <w:tcMar>
              <w:top w:w="0" w:type="dxa"/>
              <w:left w:w="108" w:type="dxa"/>
              <w:bottom w:w="0" w:type="dxa"/>
              <w:right w:w="108" w:type="dxa"/>
            </w:tcMar>
          </w:tcPr>
          <w:p w14:paraId="61E6886C" w14:textId="11D9415D" w:rsidR="001E5DF8" w:rsidRPr="0058017E" w:rsidRDefault="5C68CDF8" w:rsidP="02AF4764">
            <w:pPr>
              <w:spacing w:before="240" w:after="240"/>
            </w:pPr>
            <w:r w:rsidRPr="0058017E">
              <w:t>N</w:t>
            </w:r>
            <w:r w:rsidR="02640E64" w:rsidRPr="0058017E">
              <w:t>eighborWorks America</w:t>
            </w:r>
            <w:r w:rsidRPr="0058017E">
              <w:t xml:space="preserve"> generally works with vendors that have a U.S. office, a U.S. bank account, and a Tax Identification Number (TIN) that can be verified through the IRS database. International ACH payments are not supported.</w:t>
            </w:r>
          </w:p>
          <w:p w14:paraId="66BBED99" w14:textId="264D18BB" w:rsidR="001E5DF8" w:rsidRPr="0058017E" w:rsidRDefault="643C52A6" w:rsidP="02AF4764">
            <w:r w:rsidRPr="0058017E">
              <w:t>Canadian providers that meet the above U.S. registration and banking requirements may be eligible to participate.</w:t>
            </w:r>
          </w:p>
          <w:p w14:paraId="44C3A678" w14:textId="45F9B219" w:rsidR="001E5DF8" w:rsidRPr="0058017E" w:rsidRDefault="001E5DF8" w:rsidP="02AF4764"/>
          <w:p w14:paraId="0157985D" w14:textId="2673B65A" w:rsidR="001E5DF8" w:rsidRPr="0058017E" w:rsidRDefault="643C52A6" w:rsidP="02AF4764">
            <w:pPr>
              <w:spacing w:line="259" w:lineRule="auto"/>
            </w:pPr>
            <w:r w:rsidRPr="0058017E">
              <w:t xml:space="preserve">Regarding the SAM.gov Unique Entity ID (UEI): </w:t>
            </w:r>
            <w:r w:rsidR="702878AD" w:rsidRPr="0058017E">
              <w:t>Please see the answer to question 5.</w:t>
            </w:r>
          </w:p>
          <w:p w14:paraId="7D614FF0" w14:textId="2D368995" w:rsidR="001E5DF8" w:rsidRPr="0058017E" w:rsidRDefault="001E5DF8" w:rsidP="02AF4764"/>
        </w:tc>
      </w:tr>
      <w:tr w:rsidR="001E5DF8" w:rsidRPr="0058017E" w14:paraId="55E4E8A9" w14:textId="77777777" w:rsidTr="02AF4764">
        <w:tc>
          <w:tcPr>
            <w:tcW w:w="5212" w:type="dxa"/>
            <w:tcMar>
              <w:top w:w="0" w:type="dxa"/>
              <w:left w:w="108" w:type="dxa"/>
              <w:bottom w:w="0" w:type="dxa"/>
              <w:right w:w="108" w:type="dxa"/>
            </w:tcMar>
          </w:tcPr>
          <w:p w14:paraId="2E97B380" w14:textId="275590AD" w:rsidR="001E5DF8" w:rsidRPr="0058017E" w:rsidRDefault="0D39E3EE" w:rsidP="79BE276B">
            <w:pPr>
              <w:pStyle w:val="ListParagraph"/>
              <w:numPr>
                <w:ilvl w:val="0"/>
                <w:numId w:val="21"/>
              </w:numPr>
              <w:spacing w:after="120"/>
              <w:ind w:left="360"/>
              <w:rPr>
                <w:rFonts w:asciiTheme="minorHAnsi" w:hAnsiTheme="minorHAnsi" w:cstheme="minorBidi"/>
              </w:rPr>
            </w:pPr>
            <w:r w:rsidRPr="0058017E">
              <w:t>What insurance coverage would you require for a Canada-based instructor delivering solely online, and can this be provided through a Canadian insurer?</w:t>
            </w:r>
          </w:p>
        </w:tc>
        <w:tc>
          <w:tcPr>
            <w:tcW w:w="4950" w:type="dxa"/>
            <w:tcMar>
              <w:top w:w="0" w:type="dxa"/>
              <w:left w:w="108" w:type="dxa"/>
              <w:bottom w:w="0" w:type="dxa"/>
              <w:right w:w="108" w:type="dxa"/>
            </w:tcMar>
          </w:tcPr>
          <w:p w14:paraId="0CCE000F" w14:textId="1ED181B0" w:rsidR="001E5DF8" w:rsidRPr="0058017E" w:rsidRDefault="117DAAA0" w:rsidP="001E5DF8">
            <w:r w:rsidRPr="0058017E">
              <w:rPr>
                <w:rFonts w:asciiTheme="minorHAnsi" w:hAnsiTheme="minorHAnsi" w:cstheme="minorBidi"/>
              </w:rPr>
              <w:t>We require coverage that is “customary and appropriate” and do not wish to be more specific.  NeighborWorks America also would not specify which insurer to use; it would require only that the coverage apply to claims arising from work performed for NeighborWorks America.</w:t>
            </w:r>
          </w:p>
        </w:tc>
      </w:tr>
      <w:tr w:rsidR="003E49D8" w:rsidRPr="0058017E" w14:paraId="10131863" w14:textId="77777777" w:rsidTr="02AF4764">
        <w:tc>
          <w:tcPr>
            <w:tcW w:w="5212" w:type="dxa"/>
            <w:tcMar>
              <w:top w:w="0" w:type="dxa"/>
              <w:left w:w="108" w:type="dxa"/>
              <w:bottom w:w="0" w:type="dxa"/>
              <w:right w:w="108" w:type="dxa"/>
            </w:tcMar>
          </w:tcPr>
          <w:p w14:paraId="72EF3672" w14:textId="426650DE" w:rsidR="003E49D8" w:rsidRPr="0058017E" w:rsidRDefault="001E5DF8" w:rsidP="02AF4764">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Could you clarify whether the RFP requires a letter from each of two references, or whether contact information for the references is sufficient? (attachment C proposal checklist).</w:t>
            </w:r>
          </w:p>
        </w:tc>
        <w:tc>
          <w:tcPr>
            <w:tcW w:w="4950" w:type="dxa"/>
            <w:tcMar>
              <w:top w:w="0" w:type="dxa"/>
              <w:left w:w="108" w:type="dxa"/>
              <w:bottom w:w="0" w:type="dxa"/>
              <w:right w:w="108" w:type="dxa"/>
            </w:tcMar>
          </w:tcPr>
          <w:p w14:paraId="5E08BBA2" w14:textId="3F2CEDFE" w:rsidR="003E49D8" w:rsidRPr="0058017E" w:rsidRDefault="0944F5D1" w:rsidP="02AF4764">
            <w:r w:rsidRPr="0058017E">
              <w:t>Two references or reference letters are required. Contact information is sufficient if it includes the nature of services provided, dates of performance, client name, contact person, address, email, and telephone (Attachment C). References must be from performance within the past 5 years, related to at least one technical track, and should reflect experience in the services you’re applying for (Course Delivery and/or Course Development).</w:t>
            </w:r>
          </w:p>
        </w:tc>
      </w:tr>
      <w:tr w:rsidR="003E49D8" w:rsidRPr="0058017E" w14:paraId="282BC904" w14:textId="77777777" w:rsidTr="02AF4764">
        <w:tc>
          <w:tcPr>
            <w:tcW w:w="5212" w:type="dxa"/>
            <w:tcMar>
              <w:top w:w="0" w:type="dxa"/>
              <w:left w:w="108" w:type="dxa"/>
              <w:bottom w:w="0" w:type="dxa"/>
              <w:right w:w="108" w:type="dxa"/>
            </w:tcMar>
          </w:tcPr>
          <w:p w14:paraId="44462994" w14:textId="57BF98A5"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Attachment C asks for one video, and Attachment D accepts up to five key personnel for a multi-person entity. For a firm submitting more than one key person, should each key person record a video, or should the firm submit one with our lead staff person?</w:t>
            </w:r>
            <w:r w:rsidRPr="0058017E">
              <w:t xml:space="preserve"> </w:t>
            </w:r>
            <w:r w:rsidRPr="0058017E">
              <w:rPr>
                <w:rFonts w:asciiTheme="minorHAnsi" w:hAnsiTheme="minorHAnsi" w:cstheme="minorBidi"/>
              </w:rPr>
              <w:t>If we’ve already led trainings for NeighborWorks America, do we still need to submit a video? What about references?</w:t>
            </w:r>
          </w:p>
        </w:tc>
        <w:tc>
          <w:tcPr>
            <w:tcW w:w="4950" w:type="dxa"/>
            <w:tcMar>
              <w:top w:w="0" w:type="dxa"/>
              <w:left w:w="108" w:type="dxa"/>
              <w:bottom w:w="0" w:type="dxa"/>
              <w:right w:w="108" w:type="dxa"/>
            </w:tcMar>
          </w:tcPr>
          <w:p w14:paraId="5DEF2E86" w14:textId="7B2814E9" w:rsidR="003E49D8" w:rsidRPr="0058017E" w:rsidRDefault="5F1E530B" w:rsidP="02AF4764">
            <w:pPr>
              <w:spacing w:line="259" w:lineRule="auto"/>
            </w:pPr>
            <w:r w:rsidRPr="0058017E">
              <w:rPr>
                <w:rFonts w:asciiTheme="minorHAnsi" w:hAnsiTheme="minorHAnsi" w:cstheme="minorBidi"/>
              </w:rPr>
              <w:t>Submit one video per application.</w:t>
            </w:r>
          </w:p>
          <w:p w14:paraId="32501B2D" w14:textId="0CD76ABC" w:rsidR="003E49D8" w:rsidRPr="0058017E" w:rsidRDefault="003E49D8" w:rsidP="02AF4764">
            <w:pPr>
              <w:spacing w:line="259" w:lineRule="auto"/>
              <w:rPr>
                <w:rFonts w:asciiTheme="minorHAnsi" w:hAnsiTheme="minorHAnsi" w:cstheme="minorBidi"/>
              </w:rPr>
            </w:pPr>
          </w:p>
          <w:p w14:paraId="52B5EC01" w14:textId="167026E1" w:rsidR="003E49D8" w:rsidRPr="0058017E" w:rsidRDefault="5F1E530B" w:rsidP="02AF4764">
            <w:pPr>
              <w:spacing w:line="259" w:lineRule="auto"/>
            </w:pPr>
            <w:r w:rsidRPr="0058017E">
              <w:rPr>
                <w:rFonts w:asciiTheme="minorHAnsi" w:hAnsiTheme="minorHAnsi" w:cstheme="minorBidi"/>
              </w:rPr>
              <w:t>The video</w:t>
            </w:r>
            <w:r w:rsidR="0AA2F805" w:rsidRPr="0058017E">
              <w:rPr>
                <w:rFonts w:asciiTheme="minorHAnsi" w:hAnsiTheme="minorHAnsi" w:cstheme="minorBidi"/>
              </w:rPr>
              <w:t xml:space="preserve"> and </w:t>
            </w:r>
            <w:r w:rsidR="532D75F6" w:rsidRPr="0058017E">
              <w:rPr>
                <w:rFonts w:asciiTheme="minorHAnsi" w:hAnsiTheme="minorHAnsi" w:cstheme="minorBidi"/>
              </w:rPr>
              <w:t>references</w:t>
            </w:r>
            <w:r w:rsidRPr="0058017E">
              <w:rPr>
                <w:rFonts w:asciiTheme="minorHAnsi" w:hAnsiTheme="minorHAnsi" w:cstheme="minorBidi"/>
              </w:rPr>
              <w:t xml:space="preserve"> requirement applies to</w:t>
            </w:r>
            <w:r w:rsidR="68A59073" w:rsidRPr="0058017E">
              <w:rPr>
                <w:rFonts w:asciiTheme="minorHAnsi" w:hAnsiTheme="minorHAnsi" w:cstheme="minorBidi"/>
              </w:rPr>
              <w:t xml:space="preserve"> all</w:t>
            </w:r>
            <w:r w:rsidRPr="0058017E">
              <w:rPr>
                <w:rFonts w:asciiTheme="minorHAnsi" w:hAnsiTheme="minorHAnsi" w:cstheme="minorBidi"/>
              </w:rPr>
              <w:t xml:space="preserve"> proposals, including current trainers.  </w:t>
            </w:r>
          </w:p>
        </w:tc>
      </w:tr>
      <w:tr w:rsidR="003E49D8" w:rsidRPr="0058017E" w14:paraId="7B062395" w14:textId="77777777" w:rsidTr="02AF4764">
        <w:tc>
          <w:tcPr>
            <w:tcW w:w="5212" w:type="dxa"/>
            <w:tcMar>
              <w:top w:w="0" w:type="dxa"/>
              <w:left w:w="108" w:type="dxa"/>
              <w:bottom w:w="0" w:type="dxa"/>
              <w:right w:w="108" w:type="dxa"/>
            </w:tcMar>
          </w:tcPr>
          <w:p w14:paraId="06BFEA73" w14:textId="55C78781" w:rsidR="003E49D8" w:rsidRPr="0058017E" w:rsidRDefault="0D39E3EE" w:rsidP="79BE276B">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Does the Alchemer survey allow us to save our progress and return to it, and can we receive a copy of the completed submission?</w:t>
            </w:r>
          </w:p>
        </w:tc>
        <w:tc>
          <w:tcPr>
            <w:tcW w:w="4950" w:type="dxa"/>
            <w:tcMar>
              <w:top w:w="0" w:type="dxa"/>
              <w:left w:w="108" w:type="dxa"/>
              <w:bottom w:w="0" w:type="dxa"/>
              <w:right w:w="108" w:type="dxa"/>
            </w:tcMar>
          </w:tcPr>
          <w:p w14:paraId="238F32F6" w14:textId="3B236F49" w:rsidR="003E49D8" w:rsidRPr="0058017E" w:rsidRDefault="1D3F0908" w:rsidP="02AF4764">
            <w:pPr>
              <w:spacing w:line="259" w:lineRule="auto"/>
            </w:pPr>
            <w:r w:rsidRPr="0058017E">
              <w:rPr>
                <w:rFonts w:asciiTheme="minorHAnsi" w:hAnsiTheme="minorHAnsi" w:cstheme="minorBidi"/>
              </w:rPr>
              <w:t xml:space="preserve">Yes, vendors have the ability to save their progress. They will receive a unique link via email, allowing </w:t>
            </w:r>
            <w:r w:rsidRPr="0058017E">
              <w:rPr>
                <w:rFonts w:asciiTheme="minorHAnsi" w:hAnsiTheme="minorHAnsi" w:cstheme="minorBidi"/>
              </w:rPr>
              <w:lastRenderedPageBreak/>
              <w:t>them to return and complete the form at a later time.</w:t>
            </w:r>
          </w:p>
          <w:p w14:paraId="3AA76FA3" w14:textId="58F802E7" w:rsidR="003E49D8" w:rsidRPr="0058017E" w:rsidRDefault="1D3F0908" w:rsidP="02AF4764">
            <w:r w:rsidRPr="0058017E">
              <w:rPr>
                <w:rFonts w:asciiTheme="minorHAnsi" w:hAnsiTheme="minorHAnsi" w:cstheme="minorBidi"/>
              </w:rPr>
              <w:t xml:space="preserve"> </w:t>
            </w:r>
          </w:p>
          <w:p w14:paraId="0B91FF91" w14:textId="318736A2" w:rsidR="003E49D8" w:rsidRPr="0058017E" w:rsidRDefault="1D3F0908" w:rsidP="02AF4764">
            <w:r w:rsidRPr="0058017E">
              <w:rPr>
                <w:rFonts w:asciiTheme="minorHAnsi" w:hAnsiTheme="minorHAnsi" w:cstheme="minorBidi"/>
              </w:rPr>
              <w:t>When users reach the final page and submit the form, a download option will be available for them to retrieve their copy. No automated email or copy will be sent.</w:t>
            </w:r>
          </w:p>
        </w:tc>
      </w:tr>
      <w:tr w:rsidR="00015BEA" w:rsidRPr="0058017E" w14:paraId="7DCDEB24" w14:textId="77777777" w:rsidTr="02AF4764">
        <w:tc>
          <w:tcPr>
            <w:tcW w:w="5212" w:type="dxa"/>
            <w:tcMar>
              <w:top w:w="0" w:type="dxa"/>
              <w:left w:w="108" w:type="dxa"/>
              <w:bottom w:w="0" w:type="dxa"/>
              <w:right w:w="108" w:type="dxa"/>
            </w:tcMar>
          </w:tcPr>
          <w:p w14:paraId="2E391024" w14:textId="492242EB" w:rsidR="00015BEA" w:rsidRPr="0058017E" w:rsidRDefault="001E5DF8" w:rsidP="003C7C2A">
            <w:pPr>
              <w:pStyle w:val="ListParagraph"/>
              <w:numPr>
                <w:ilvl w:val="0"/>
                <w:numId w:val="21"/>
              </w:numPr>
              <w:spacing w:after="120"/>
              <w:ind w:left="360"/>
              <w:rPr>
                <w:rFonts w:asciiTheme="minorHAnsi" w:hAnsiTheme="minorHAnsi" w:cstheme="minorHAnsi"/>
              </w:rPr>
            </w:pPr>
            <w:r w:rsidRPr="0058017E">
              <w:rPr>
                <w:rFonts w:asciiTheme="minorHAnsi" w:hAnsiTheme="minorHAnsi" w:cstheme="minorHAnsi"/>
              </w:rPr>
              <w:lastRenderedPageBreak/>
              <w:t>Section L asks for a SAM.gov unique entity identifier, NAICS numbers, and a GSA number if available. Is SAM.gov registration required at the time of proposal, or only at award?</w:t>
            </w:r>
          </w:p>
        </w:tc>
        <w:tc>
          <w:tcPr>
            <w:tcW w:w="4950" w:type="dxa"/>
            <w:tcMar>
              <w:top w:w="0" w:type="dxa"/>
              <w:left w:w="108" w:type="dxa"/>
              <w:bottom w:w="0" w:type="dxa"/>
              <w:right w:w="108" w:type="dxa"/>
            </w:tcMar>
          </w:tcPr>
          <w:p w14:paraId="5E2CF55D" w14:textId="3CCBC709" w:rsidR="00015BEA" w:rsidRPr="0058017E" w:rsidRDefault="18C4D750" w:rsidP="003C7C2A">
            <w:r w:rsidRPr="0058017E">
              <w:rPr>
                <w:rFonts w:asciiTheme="minorHAnsi" w:hAnsiTheme="minorHAnsi" w:cstheme="minorBidi"/>
              </w:rPr>
              <w:t>Please see the answer to question 5.</w:t>
            </w:r>
          </w:p>
        </w:tc>
      </w:tr>
      <w:tr w:rsidR="00015BEA" w:rsidRPr="0058017E" w14:paraId="1B0F886F" w14:textId="77777777" w:rsidTr="02AF4764">
        <w:tc>
          <w:tcPr>
            <w:tcW w:w="5212" w:type="dxa"/>
            <w:tcMar>
              <w:top w:w="0" w:type="dxa"/>
              <w:left w:w="108" w:type="dxa"/>
              <w:bottom w:w="0" w:type="dxa"/>
              <w:right w:w="108" w:type="dxa"/>
            </w:tcMar>
          </w:tcPr>
          <w:p w14:paraId="1DDCD511" w14:textId="033A65E7" w:rsidR="00015BEA" w:rsidRPr="0058017E" w:rsidRDefault="001E5DF8" w:rsidP="02AF4764">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The performance period begins October 1, 2027. When does NeighborWorks expect to notify awardees, and will the current pool continue to receive work orders until then?</w:t>
            </w:r>
          </w:p>
        </w:tc>
        <w:tc>
          <w:tcPr>
            <w:tcW w:w="4950" w:type="dxa"/>
            <w:tcMar>
              <w:top w:w="0" w:type="dxa"/>
              <w:left w:w="108" w:type="dxa"/>
              <w:bottom w:w="0" w:type="dxa"/>
              <w:right w:w="108" w:type="dxa"/>
            </w:tcMar>
          </w:tcPr>
          <w:p w14:paraId="1BA84C42" w14:textId="1C96DE26" w:rsidR="00015BEA" w:rsidRPr="0058017E" w:rsidRDefault="7DF6D1BD" w:rsidP="003C7C2A">
            <w:r w:rsidRPr="0058017E">
              <w:rPr>
                <w:rFonts w:asciiTheme="minorHAnsi" w:hAnsiTheme="minorHAnsi" w:cstheme="minorBidi"/>
              </w:rPr>
              <w:t xml:space="preserve">It will depend on the evaluation process. However, we will be able to provide an update on the status of awards before October 1, 2027. </w:t>
            </w:r>
          </w:p>
          <w:p w14:paraId="6F8D7159" w14:textId="70525235" w:rsidR="00015BEA" w:rsidRPr="0058017E" w:rsidRDefault="00015BEA" w:rsidP="02AF4764">
            <w:pPr>
              <w:rPr>
                <w:rFonts w:asciiTheme="minorHAnsi" w:hAnsiTheme="minorHAnsi" w:cstheme="minorBidi"/>
              </w:rPr>
            </w:pPr>
          </w:p>
          <w:p w14:paraId="3BE6A9DE" w14:textId="38766D86" w:rsidR="00015BEA" w:rsidRPr="0058017E" w:rsidRDefault="22AF1FAA" w:rsidP="003C7C2A">
            <w:r w:rsidRPr="0058017E">
              <w:rPr>
                <w:rFonts w:asciiTheme="minorHAnsi" w:hAnsiTheme="minorHAnsi" w:cstheme="minorBidi"/>
              </w:rPr>
              <w:t>Yes, all current vendors will continue to receive work under their existing contracts.</w:t>
            </w:r>
          </w:p>
        </w:tc>
      </w:tr>
      <w:tr w:rsidR="00015BEA" w:rsidRPr="0058017E" w14:paraId="159BD28F" w14:textId="77777777" w:rsidTr="02AF4764">
        <w:tc>
          <w:tcPr>
            <w:tcW w:w="5212" w:type="dxa"/>
            <w:tcMar>
              <w:top w:w="0" w:type="dxa"/>
              <w:left w:w="108" w:type="dxa"/>
              <w:bottom w:w="0" w:type="dxa"/>
              <w:right w:w="108" w:type="dxa"/>
            </w:tcMar>
          </w:tcPr>
          <w:p w14:paraId="11E8226D" w14:textId="52E9E5E5" w:rsidR="00015BEA" w:rsidRPr="0058017E" w:rsidRDefault="001E5DF8" w:rsidP="02AF4764">
            <w:pPr>
              <w:pStyle w:val="ListParagraph"/>
              <w:numPr>
                <w:ilvl w:val="0"/>
                <w:numId w:val="21"/>
              </w:numPr>
              <w:spacing w:after="120"/>
              <w:ind w:left="360"/>
              <w:rPr>
                <w:rFonts w:asciiTheme="minorHAnsi" w:hAnsiTheme="minorHAnsi" w:cstheme="minorBidi"/>
              </w:rPr>
            </w:pPr>
            <w:commentRangeStart w:id="6"/>
            <w:r w:rsidRPr="0058017E">
              <w:rPr>
                <w:rFonts w:asciiTheme="minorHAnsi" w:hAnsiTheme="minorHAnsi" w:cstheme="minorBidi"/>
              </w:rPr>
              <w:t>Section B asks for one daily rate for each of five periods. Can we propose different daily ra</w:t>
            </w:r>
            <w:commentRangeEnd w:id="6"/>
            <w:r w:rsidRPr="0058017E">
              <w:rPr>
                <w:rStyle w:val="CommentReference"/>
                <w:rFonts w:asciiTheme="minorHAnsi" w:hAnsiTheme="minorHAnsi" w:cstheme="minorBidi"/>
                <w:sz w:val="22"/>
                <w:szCs w:val="22"/>
              </w:rPr>
              <w:commentReference w:id="6"/>
            </w:r>
            <w:r w:rsidRPr="0058017E">
              <w:rPr>
                <w:rFonts w:asciiTheme="minorHAnsi" w:hAnsiTheme="minorHAnsi" w:cstheme="minorBidi"/>
              </w:rPr>
              <w:t>tes by service (course delivery, course development, technical assistance, and course and program support) or by consultant?</w:t>
            </w:r>
          </w:p>
        </w:tc>
        <w:tc>
          <w:tcPr>
            <w:tcW w:w="4950" w:type="dxa"/>
            <w:tcMar>
              <w:top w:w="0" w:type="dxa"/>
              <w:left w:w="108" w:type="dxa"/>
              <w:bottom w:w="0" w:type="dxa"/>
              <w:right w:w="108" w:type="dxa"/>
            </w:tcMar>
          </w:tcPr>
          <w:p w14:paraId="117D791C" w14:textId="2252B47E" w:rsidR="004E6BD8" w:rsidRPr="0058017E" w:rsidRDefault="38146153" w:rsidP="003C7C2A">
            <w:r w:rsidRPr="0058017E">
              <w:rPr>
                <w:rFonts w:asciiTheme="minorHAnsi" w:hAnsiTheme="minorHAnsi" w:cstheme="minorBidi"/>
              </w:rPr>
              <w:t xml:space="preserve">No. </w:t>
            </w:r>
            <w:r w:rsidR="738AC363" w:rsidRPr="0058017E">
              <w:rPr>
                <w:rFonts w:asciiTheme="minorHAnsi" w:hAnsiTheme="minorHAnsi" w:cstheme="minorBidi"/>
              </w:rPr>
              <w:t>Please follow the instructions as described in the RFP.</w:t>
            </w:r>
          </w:p>
        </w:tc>
      </w:tr>
      <w:tr w:rsidR="003507F6" w:rsidRPr="0058017E" w14:paraId="75307161" w14:textId="77777777" w:rsidTr="02AF4764">
        <w:tc>
          <w:tcPr>
            <w:tcW w:w="5212" w:type="dxa"/>
            <w:tcMar>
              <w:top w:w="0" w:type="dxa"/>
              <w:left w:w="108" w:type="dxa"/>
              <w:bottom w:w="0" w:type="dxa"/>
              <w:right w:w="108" w:type="dxa"/>
            </w:tcMar>
          </w:tcPr>
          <w:p w14:paraId="7E66C9F5" w14:textId="1C12FAF9" w:rsidR="003507F6" w:rsidRPr="0058017E" w:rsidRDefault="001E5DF8" w:rsidP="02AF4764">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Section C says NeighborWorks may limit the number of consultants awarded a contract based on need. Can you tell us roughly how many consultants you expect to award and how many applied in the last round?</w:t>
            </w:r>
          </w:p>
        </w:tc>
        <w:tc>
          <w:tcPr>
            <w:tcW w:w="4950" w:type="dxa"/>
            <w:tcMar>
              <w:top w:w="0" w:type="dxa"/>
              <w:left w:w="108" w:type="dxa"/>
              <w:bottom w:w="0" w:type="dxa"/>
              <w:right w:w="108" w:type="dxa"/>
            </w:tcMar>
          </w:tcPr>
          <w:p w14:paraId="29BC9FC2" w14:textId="31C3FC16" w:rsidR="003507F6" w:rsidRPr="0058017E" w:rsidRDefault="1D8F5CEC" w:rsidP="003C7C2A">
            <w:r w:rsidRPr="0058017E">
              <w:rPr>
                <w:rFonts w:asciiTheme="minorHAnsi" w:hAnsiTheme="minorHAnsi" w:cstheme="minorBidi"/>
              </w:rPr>
              <w:t>NW has not predetermined the number of consultants that will be awarded a contract. The number of awards will be determined and made based on the results of the evaluation process.</w:t>
            </w:r>
          </w:p>
          <w:p w14:paraId="54E13209" w14:textId="48708C0F" w:rsidR="003507F6" w:rsidRPr="0058017E" w:rsidRDefault="003507F6" w:rsidP="02AF4764">
            <w:pPr>
              <w:rPr>
                <w:rFonts w:asciiTheme="minorHAnsi" w:hAnsiTheme="minorHAnsi" w:cstheme="minorBidi"/>
              </w:rPr>
            </w:pPr>
          </w:p>
          <w:p w14:paraId="485EBAC8" w14:textId="1D627F19" w:rsidR="003507F6" w:rsidRPr="0058017E" w:rsidRDefault="1D8F5CEC" w:rsidP="003C7C2A">
            <w:r w:rsidRPr="0058017E">
              <w:rPr>
                <w:rFonts w:asciiTheme="minorHAnsi" w:hAnsiTheme="minorHAnsi" w:cstheme="minorBidi"/>
              </w:rPr>
              <w:t>We are unable to provide an estimate of the number of awards from the previous round.</w:t>
            </w:r>
          </w:p>
        </w:tc>
      </w:tr>
      <w:tr w:rsidR="003507F6" w:rsidRPr="0058017E" w14:paraId="1D95D6F8" w14:textId="77777777" w:rsidTr="02AF4764">
        <w:tc>
          <w:tcPr>
            <w:tcW w:w="5212" w:type="dxa"/>
            <w:tcMar>
              <w:top w:w="0" w:type="dxa"/>
              <w:left w:w="108" w:type="dxa"/>
              <w:bottom w:w="0" w:type="dxa"/>
              <w:right w:w="108" w:type="dxa"/>
            </w:tcMar>
          </w:tcPr>
          <w:p w14:paraId="6E9B0CB2" w14:textId="60308D48" w:rsidR="003507F6" w:rsidRPr="0058017E" w:rsidRDefault="001E5DF8" w:rsidP="02AF4764">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For firms proposing multiple key personnel (in this case, two), may qualifications, course delivery/development experience, and client references include work performed by those individuals prior to joining or establishing the applying firm? We want to ensure we accurately represent both our organization's experience and the individual experience of our proposed faculty members.</w:t>
            </w:r>
          </w:p>
        </w:tc>
        <w:tc>
          <w:tcPr>
            <w:tcW w:w="4950" w:type="dxa"/>
            <w:tcMar>
              <w:top w:w="0" w:type="dxa"/>
              <w:left w:w="108" w:type="dxa"/>
              <w:bottom w:w="0" w:type="dxa"/>
              <w:right w:w="108" w:type="dxa"/>
            </w:tcMar>
          </w:tcPr>
          <w:p w14:paraId="4D42FAA1" w14:textId="7D244178" w:rsidR="003507F6" w:rsidRPr="0058017E" w:rsidRDefault="0D815C44" w:rsidP="02AF4764">
            <w:r w:rsidRPr="0058017E">
              <w:t>Yes. Experience performed by proposed key personnel before joining the firm may be included, with the role and employer identified.</w:t>
            </w:r>
            <w:r w:rsidR="157ADB9E" w:rsidRPr="0058017E">
              <w:t xml:space="preserve"> However, when listing </w:t>
            </w:r>
            <w:r w:rsidR="773801B7" w:rsidRPr="0058017E">
              <w:t xml:space="preserve">total </w:t>
            </w:r>
            <w:r w:rsidR="157ADB9E" w:rsidRPr="0058017E">
              <w:t>number of years of experience for course delivery or development, that should only pertain to key personnel 1.</w:t>
            </w:r>
          </w:p>
        </w:tc>
      </w:tr>
      <w:tr w:rsidR="003507F6" w:rsidRPr="0058017E" w14:paraId="20E8EB7D" w14:textId="77777777" w:rsidTr="02AF4764">
        <w:tc>
          <w:tcPr>
            <w:tcW w:w="5212" w:type="dxa"/>
            <w:tcMar>
              <w:top w:w="0" w:type="dxa"/>
              <w:left w:w="108" w:type="dxa"/>
              <w:bottom w:w="0" w:type="dxa"/>
              <w:right w:w="108" w:type="dxa"/>
            </w:tcMar>
          </w:tcPr>
          <w:p w14:paraId="1F4C5609" w14:textId="7A35CEF8" w:rsidR="003507F6" w:rsidRPr="0058017E" w:rsidRDefault="001E5DF8" w:rsidP="02AF4764">
            <w:pPr>
              <w:pStyle w:val="ListParagraph"/>
              <w:numPr>
                <w:ilvl w:val="0"/>
                <w:numId w:val="21"/>
              </w:numPr>
              <w:spacing w:after="120"/>
              <w:ind w:left="360"/>
              <w:rPr>
                <w:rFonts w:asciiTheme="minorHAnsi" w:hAnsiTheme="minorHAnsi" w:cstheme="minorBidi"/>
              </w:rPr>
            </w:pPr>
            <w:commentRangeStart w:id="7"/>
            <w:r w:rsidRPr="0058017E">
              <w:rPr>
                <w:rFonts w:asciiTheme="minorHAnsi" w:hAnsiTheme="minorHAnsi" w:cstheme="minorBidi"/>
              </w:rPr>
              <w:t xml:space="preserve">For the Non-Profit Management and Leadership (ML) technical track, are applicants expected to demonstrate prior training experience specifically </w:t>
            </w:r>
            <w:r w:rsidRPr="0058017E">
              <w:rPr>
                <w:rFonts w:asciiTheme="minorHAnsi" w:hAnsiTheme="minorHAnsi" w:cstheme="minorBidi"/>
              </w:rPr>
              <w:lastRenderedPageBreak/>
              <w:t>within the affordable housing and community development sectors, or is relevant experience delivering leadership and organizational development programs to nonprofits in other sectors equally acceptable?</w:t>
            </w:r>
            <w:commentRangeEnd w:id="7"/>
            <w:r w:rsidRPr="0058017E">
              <w:rPr>
                <w:rStyle w:val="CommentReference"/>
                <w:rFonts w:asciiTheme="minorHAnsi" w:hAnsiTheme="minorHAnsi" w:cstheme="minorBidi"/>
                <w:sz w:val="22"/>
                <w:szCs w:val="22"/>
              </w:rPr>
              <w:commentReference w:id="7"/>
            </w:r>
          </w:p>
        </w:tc>
        <w:tc>
          <w:tcPr>
            <w:tcW w:w="4950" w:type="dxa"/>
            <w:tcMar>
              <w:top w:w="0" w:type="dxa"/>
              <w:left w:w="108" w:type="dxa"/>
              <w:bottom w:w="0" w:type="dxa"/>
              <w:right w:w="108" w:type="dxa"/>
            </w:tcMar>
          </w:tcPr>
          <w:p w14:paraId="4E8D61AC" w14:textId="5FF8BAF0" w:rsidR="003507F6" w:rsidRPr="0058017E" w:rsidRDefault="10DEDA17" w:rsidP="02AF4764">
            <w:r w:rsidRPr="0058017E">
              <w:rPr>
                <w:rFonts w:ascii="Segoe UI" w:eastAsia="Segoe UI" w:hAnsi="Segoe UI" w:cs="Segoe UI"/>
                <w:color w:val="242424"/>
                <w:sz w:val="21"/>
                <w:szCs w:val="21"/>
              </w:rPr>
              <w:lastRenderedPageBreak/>
              <w:t>Faculty are expected to have experience within their identified areas of expertise, not necessarily across the field as a whole.</w:t>
            </w:r>
          </w:p>
        </w:tc>
      </w:tr>
      <w:tr w:rsidR="003507F6" w:rsidRPr="0058017E" w14:paraId="4C633429" w14:textId="77777777" w:rsidTr="02AF4764">
        <w:tc>
          <w:tcPr>
            <w:tcW w:w="5212" w:type="dxa"/>
            <w:tcMar>
              <w:top w:w="0" w:type="dxa"/>
              <w:left w:w="108" w:type="dxa"/>
              <w:bottom w:w="0" w:type="dxa"/>
              <w:right w:w="108" w:type="dxa"/>
            </w:tcMar>
          </w:tcPr>
          <w:p w14:paraId="26629C8C" w14:textId="433C552A" w:rsidR="003507F6" w:rsidRPr="0058017E" w:rsidRDefault="001E5DF8" w:rsidP="02AF4764">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We intend to propose two key personnel, with one serving as the primary instructor and the other supporting course development, facilitation, and delivery. Is the single video submission intended to demonstrate the qualifications of the primary instructor, or should both proposed faculty members appear in the video?</w:t>
            </w:r>
          </w:p>
        </w:tc>
        <w:tc>
          <w:tcPr>
            <w:tcW w:w="4950" w:type="dxa"/>
            <w:tcMar>
              <w:top w:w="0" w:type="dxa"/>
              <w:left w:w="108" w:type="dxa"/>
              <w:bottom w:w="0" w:type="dxa"/>
              <w:right w:w="108" w:type="dxa"/>
            </w:tcMar>
          </w:tcPr>
          <w:p w14:paraId="216F3B0A" w14:textId="55813FAE" w:rsidR="003507F6" w:rsidRPr="0058017E" w:rsidRDefault="18A34963" w:rsidP="02AF4764">
            <w:pPr>
              <w:spacing w:line="259" w:lineRule="auto"/>
            </w:pPr>
            <w:r w:rsidRPr="0058017E">
              <w:rPr>
                <w:rFonts w:asciiTheme="minorHAnsi" w:hAnsiTheme="minorHAnsi" w:cstheme="minorBidi"/>
              </w:rPr>
              <w:t>The primary instructor should record the video.</w:t>
            </w:r>
          </w:p>
          <w:p w14:paraId="301C6533" w14:textId="12ECE1A5" w:rsidR="003507F6" w:rsidRPr="0058017E" w:rsidRDefault="003507F6" w:rsidP="02AF4764">
            <w:pPr>
              <w:rPr>
                <w:rFonts w:asciiTheme="minorHAnsi" w:hAnsiTheme="minorHAnsi" w:cstheme="minorBidi"/>
              </w:rPr>
            </w:pPr>
          </w:p>
        </w:tc>
      </w:tr>
      <w:tr w:rsidR="00126792" w:rsidRPr="0058017E" w14:paraId="65ADC266" w14:textId="77777777" w:rsidTr="02AF4764">
        <w:tc>
          <w:tcPr>
            <w:tcW w:w="5212" w:type="dxa"/>
            <w:shd w:val="clear" w:color="auto" w:fill="FFFFFF" w:themeFill="background1"/>
            <w:tcMar>
              <w:top w:w="0" w:type="dxa"/>
              <w:left w:w="108" w:type="dxa"/>
              <w:bottom w:w="0" w:type="dxa"/>
              <w:right w:w="108" w:type="dxa"/>
            </w:tcMar>
          </w:tcPr>
          <w:p w14:paraId="2BE4367E" w14:textId="64179BA5" w:rsidR="00126792" w:rsidRPr="0058017E" w:rsidRDefault="001E5DF8" w:rsidP="003C7C2A">
            <w:pPr>
              <w:pStyle w:val="ListParagraph"/>
              <w:numPr>
                <w:ilvl w:val="0"/>
                <w:numId w:val="21"/>
              </w:numPr>
              <w:spacing w:after="120"/>
              <w:ind w:left="360"/>
              <w:rPr>
                <w:rFonts w:asciiTheme="minorHAnsi" w:hAnsiTheme="minorHAnsi" w:cstheme="minorHAnsi"/>
              </w:rPr>
            </w:pPr>
            <w:r w:rsidRPr="0058017E">
              <w:rPr>
                <w:rFonts w:asciiTheme="minorHAnsi" w:hAnsiTheme="minorHAnsi" w:cstheme="minorHAnsi"/>
              </w:rPr>
              <w:t>Attachment B outlines compensated preparation and travel time. When two instructors are assigned to the same course, are preparation and travel-time fees calculated separately for each instructor?</w:t>
            </w:r>
          </w:p>
        </w:tc>
        <w:tc>
          <w:tcPr>
            <w:tcW w:w="4950" w:type="dxa"/>
            <w:shd w:val="clear" w:color="auto" w:fill="FFFFFF" w:themeFill="background1"/>
            <w:tcMar>
              <w:top w:w="0" w:type="dxa"/>
              <w:left w:w="108" w:type="dxa"/>
              <w:bottom w:w="0" w:type="dxa"/>
              <w:right w:w="108" w:type="dxa"/>
            </w:tcMar>
          </w:tcPr>
          <w:p w14:paraId="6FC6C519" w14:textId="58DC92B3" w:rsidR="00126792" w:rsidRPr="0058017E" w:rsidRDefault="6BD4CF23" w:rsidP="003C7C2A">
            <w:r w:rsidRPr="0058017E">
              <w:rPr>
                <w:rFonts w:asciiTheme="minorHAnsi" w:hAnsiTheme="minorHAnsi" w:cstheme="minorBidi"/>
              </w:rPr>
              <w:t>See Q31</w:t>
            </w:r>
          </w:p>
          <w:p w14:paraId="6D0B4D9F" w14:textId="533FBA47" w:rsidR="00126792" w:rsidRPr="0058017E" w:rsidRDefault="00126792" w:rsidP="02AF4764">
            <w:pPr>
              <w:rPr>
                <w:rFonts w:asciiTheme="minorHAnsi" w:hAnsiTheme="minorHAnsi" w:cstheme="minorBidi"/>
              </w:rPr>
            </w:pPr>
          </w:p>
        </w:tc>
      </w:tr>
      <w:tr w:rsidR="00CB21EA" w:rsidRPr="0058017E" w14:paraId="7A50A5FA" w14:textId="77777777" w:rsidTr="02AF4764">
        <w:tc>
          <w:tcPr>
            <w:tcW w:w="5212" w:type="dxa"/>
            <w:tcMar>
              <w:top w:w="0" w:type="dxa"/>
              <w:left w:w="108" w:type="dxa"/>
              <w:bottom w:w="0" w:type="dxa"/>
              <w:right w:w="108" w:type="dxa"/>
            </w:tcMar>
          </w:tcPr>
          <w:p w14:paraId="2FDFF729" w14:textId="285EC780" w:rsidR="00CB21EA" w:rsidRPr="0058017E" w:rsidRDefault="001E5DF8" w:rsidP="00CB21EA">
            <w:pPr>
              <w:pStyle w:val="ListParagraph"/>
              <w:numPr>
                <w:ilvl w:val="0"/>
                <w:numId w:val="21"/>
              </w:numPr>
              <w:spacing w:after="120"/>
              <w:ind w:left="360"/>
              <w:rPr>
                <w:rFonts w:asciiTheme="minorHAnsi" w:hAnsiTheme="minorHAnsi" w:cstheme="minorHAnsi"/>
              </w:rPr>
            </w:pPr>
            <w:r w:rsidRPr="0058017E">
              <w:rPr>
                <w:rFonts w:asciiTheme="minorHAnsi" w:hAnsiTheme="minorHAnsi" w:cstheme="minorHAnsi"/>
              </w:rPr>
              <w:t>Are applicants expected to propose a single daily rate that applies across all selected service categories, including course delivery, course development, technical assistance, and program support? Or may different rates be proposed based on the nature of the services or the personnel performing them?</w:t>
            </w:r>
          </w:p>
        </w:tc>
        <w:tc>
          <w:tcPr>
            <w:tcW w:w="4950" w:type="dxa"/>
            <w:tcMar>
              <w:top w:w="0" w:type="dxa"/>
              <w:left w:w="108" w:type="dxa"/>
              <w:bottom w:w="0" w:type="dxa"/>
              <w:right w:w="108" w:type="dxa"/>
            </w:tcMar>
          </w:tcPr>
          <w:p w14:paraId="3E19AEB8" w14:textId="27069731" w:rsidR="007D1509" w:rsidRPr="0058017E" w:rsidRDefault="4932645C" w:rsidP="00CB21EA">
            <w:r w:rsidRPr="0058017E">
              <w:rPr>
                <w:rFonts w:asciiTheme="minorHAnsi" w:hAnsiTheme="minorHAnsi" w:cstheme="minorBidi"/>
              </w:rPr>
              <w:t>See Q17</w:t>
            </w:r>
          </w:p>
        </w:tc>
      </w:tr>
      <w:tr w:rsidR="00CB21EA" w:rsidRPr="0058017E" w14:paraId="4F0BAD9A" w14:textId="77777777" w:rsidTr="02AF4764">
        <w:tc>
          <w:tcPr>
            <w:tcW w:w="5212" w:type="dxa"/>
            <w:tcMar>
              <w:top w:w="0" w:type="dxa"/>
              <w:left w:w="108" w:type="dxa"/>
              <w:bottom w:w="0" w:type="dxa"/>
              <w:right w:w="108" w:type="dxa"/>
            </w:tcMar>
          </w:tcPr>
          <w:p w14:paraId="1439A9B0" w14:textId="7ABC35C4" w:rsidR="00CB21EA" w:rsidRPr="0058017E" w:rsidRDefault="0D39E3EE" w:rsidP="79BE276B">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Attachment D requests daily rates for the base year and four option years, but also references annual totals and a total not-to-exceed contract value. Should applicants provide only the proposed daily rates, or is there an anticipated number of service days to use when calculating annual and total contract values</w:t>
            </w:r>
          </w:p>
        </w:tc>
        <w:tc>
          <w:tcPr>
            <w:tcW w:w="4950" w:type="dxa"/>
            <w:tcMar>
              <w:top w:w="0" w:type="dxa"/>
              <w:left w:w="108" w:type="dxa"/>
              <w:bottom w:w="0" w:type="dxa"/>
              <w:right w:w="108" w:type="dxa"/>
            </w:tcMar>
          </w:tcPr>
          <w:p w14:paraId="032F7798" w14:textId="67F70252" w:rsidR="00CB21EA" w:rsidRPr="0058017E" w:rsidRDefault="00CB21EA" w:rsidP="79BE276B">
            <w:commentRangeStart w:id="8"/>
            <w:commentRangeEnd w:id="8"/>
            <w:r w:rsidRPr="0058017E">
              <w:rPr>
                <w:rStyle w:val="CommentReference"/>
                <w:rFonts w:asciiTheme="minorHAnsi" w:hAnsiTheme="minorHAnsi" w:cstheme="minorBidi"/>
                <w:sz w:val="22"/>
                <w:szCs w:val="22"/>
              </w:rPr>
              <w:commentReference w:id="8"/>
            </w:r>
            <w:r w:rsidR="0ADB4B5A" w:rsidRPr="0058017E">
              <w:rPr>
                <w:rFonts w:asciiTheme="minorHAnsi" w:hAnsiTheme="minorHAnsi" w:cstheme="minorBidi"/>
              </w:rPr>
              <w:t xml:space="preserve">Please only provide daily rates. We will update the Alchemer survey to reflect daily rates. </w:t>
            </w:r>
          </w:p>
        </w:tc>
      </w:tr>
      <w:tr w:rsidR="00CB21EA" w:rsidRPr="0058017E" w14:paraId="3EFDD726" w14:textId="77777777" w:rsidTr="02AF4764">
        <w:tc>
          <w:tcPr>
            <w:tcW w:w="5212" w:type="dxa"/>
            <w:tcMar>
              <w:top w:w="0" w:type="dxa"/>
              <w:left w:w="108" w:type="dxa"/>
              <w:bottom w:w="0" w:type="dxa"/>
              <w:right w:w="108" w:type="dxa"/>
            </w:tcMar>
          </w:tcPr>
          <w:p w14:paraId="40517A7A" w14:textId="047F4223" w:rsidR="00CB21EA" w:rsidRPr="0058017E" w:rsidRDefault="0D39E3EE" w:rsidP="79BE276B">
            <w:pPr>
              <w:pStyle w:val="ListParagraph"/>
              <w:numPr>
                <w:ilvl w:val="0"/>
                <w:numId w:val="21"/>
              </w:numPr>
              <w:spacing w:after="120"/>
              <w:ind w:left="360"/>
              <w:rPr>
                <w:rFonts w:asciiTheme="minorHAnsi" w:hAnsiTheme="minorHAnsi" w:cstheme="minorBidi"/>
              </w:rPr>
            </w:pPr>
            <w:r w:rsidRPr="0058017E">
              <w:rPr>
                <w:rFonts w:asciiTheme="minorHAnsi" w:hAnsiTheme="minorHAnsi" w:cstheme="minorBidi"/>
              </w:rPr>
              <w:t>Section H of the main RFP and Attachment D appear to differ regarding professional liability insurance. Is the $1 million professional liability coverage requirement applicable to all selected consultants, including those providing leadership development, coaching, and facilitation services?</w:t>
            </w:r>
          </w:p>
        </w:tc>
        <w:tc>
          <w:tcPr>
            <w:tcW w:w="4950" w:type="dxa"/>
            <w:tcMar>
              <w:top w:w="0" w:type="dxa"/>
              <w:left w:w="108" w:type="dxa"/>
              <w:bottom w:w="0" w:type="dxa"/>
              <w:right w:w="108" w:type="dxa"/>
            </w:tcMar>
          </w:tcPr>
          <w:p w14:paraId="10D4639A" w14:textId="200FD9C8" w:rsidR="00CB21EA" w:rsidRPr="0058017E" w:rsidRDefault="694B9E37" w:rsidP="00CB21EA">
            <w:r w:rsidRPr="0058017E">
              <w:rPr>
                <w:rFonts w:asciiTheme="minorHAnsi" w:hAnsiTheme="minorHAnsi" w:cstheme="minorBidi"/>
              </w:rPr>
              <w:t>NeighborWorks requires insurance that is “customary and appropriate.”  The $1,000,000 number cited is provided under the header for suggested minimum coverage.</w:t>
            </w:r>
          </w:p>
        </w:tc>
      </w:tr>
      <w:tr w:rsidR="001E5DF8" w:rsidRPr="0058017E" w14:paraId="335C8DDB" w14:textId="77777777" w:rsidTr="02AF4764">
        <w:tc>
          <w:tcPr>
            <w:tcW w:w="5212" w:type="dxa"/>
            <w:tcMar>
              <w:top w:w="0" w:type="dxa"/>
              <w:left w:w="108" w:type="dxa"/>
              <w:bottom w:w="0" w:type="dxa"/>
              <w:right w:w="108" w:type="dxa"/>
            </w:tcMar>
          </w:tcPr>
          <w:p w14:paraId="1149B6A0" w14:textId="58D87EAF"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 xml:space="preserve">Eligibility to Facilitate Exclusively in Spanish — Section C.3, Language Capacity. Do you consider and select professionals who will teach and facilitate workshops, courses, and verbal training in </w:t>
            </w:r>
            <w:r w:rsidRPr="0058017E">
              <w:lastRenderedPageBreak/>
              <w:t xml:space="preserve">Spanish only, without teaching them in English, and without offering bilingual facilitation? In my case, I am not available to provide training or hold professional oral communication in </w:t>
            </w:r>
            <w:commentRangeStart w:id="9"/>
            <w:r w:rsidRPr="0058017E">
              <w:t>English</w:t>
            </w:r>
            <w:commentRangeEnd w:id="9"/>
            <w:r w:rsidRPr="0058017E">
              <w:rPr>
                <w:rStyle w:val="CommentReference"/>
                <w:sz w:val="22"/>
                <w:szCs w:val="22"/>
              </w:rPr>
              <w:commentReference w:id="9"/>
            </w:r>
            <w:r w:rsidRPr="0058017E">
              <w:t>. I would appreciate expressly confirming whether this condition allows you to compete under this RFP or whether oral proficiency in English is required for all resources.</w:t>
            </w:r>
          </w:p>
        </w:tc>
        <w:tc>
          <w:tcPr>
            <w:tcW w:w="4950" w:type="dxa"/>
            <w:tcMar>
              <w:top w:w="0" w:type="dxa"/>
              <w:left w:w="108" w:type="dxa"/>
              <w:bottom w:w="0" w:type="dxa"/>
              <w:right w:w="108" w:type="dxa"/>
            </w:tcMar>
          </w:tcPr>
          <w:p w14:paraId="53EFD8CA" w14:textId="3A79E3A0" w:rsidR="001E5DF8" w:rsidRPr="0058017E" w:rsidRDefault="1ECF0246" w:rsidP="02AF4764">
            <w:pPr>
              <w:rPr>
                <w:rFonts w:asciiTheme="minorHAnsi" w:hAnsiTheme="minorHAnsi" w:cstheme="minorBidi"/>
              </w:rPr>
            </w:pPr>
            <w:r w:rsidRPr="0058017E">
              <w:rPr>
                <w:rFonts w:asciiTheme="minorHAnsi" w:hAnsiTheme="minorHAnsi" w:cstheme="minorBidi"/>
              </w:rPr>
              <w:lastRenderedPageBreak/>
              <w:t xml:space="preserve">The vast majority of our business, both communicating with and working with NeighborWorks staff in addition to teaching and </w:t>
            </w:r>
            <w:r w:rsidRPr="0058017E">
              <w:rPr>
                <w:rFonts w:asciiTheme="minorHAnsi" w:hAnsiTheme="minorHAnsi" w:cstheme="minorBidi"/>
              </w:rPr>
              <w:lastRenderedPageBreak/>
              <w:t>course development</w:t>
            </w:r>
            <w:r w:rsidR="05145900" w:rsidRPr="0058017E">
              <w:rPr>
                <w:rFonts w:asciiTheme="minorHAnsi" w:hAnsiTheme="minorHAnsi" w:cstheme="minorBidi"/>
              </w:rPr>
              <w:t>,</w:t>
            </w:r>
            <w:r w:rsidRPr="0058017E">
              <w:rPr>
                <w:rFonts w:asciiTheme="minorHAnsi" w:hAnsiTheme="minorHAnsi" w:cstheme="minorBidi"/>
              </w:rPr>
              <w:t xml:space="preserve"> is conducted in English and therefore English proficiency would be </w:t>
            </w:r>
            <w:r w:rsidR="0DA4A359" w:rsidRPr="0058017E">
              <w:rPr>
                <w:rFonts w:asciiTheme="minorHAnsi" w:hAnsiTheme="minorHAnsi" w:cstheme="minorBidi"/>
              </w:rPr>
              <w:t>required.</w:t>
            </w:r>
          </w:p>
        </w:tc>
      </w:tr>
      <w:tr w:rsidR="001E5DF8" w:rsidRPr="0058017E" w14:paraId="52AA6194" w14:textId="77777777" w:rsidTr="02AF4764">
        <w:tc>
          <w:tcPr>
            <w:tcW w:w="5212" w:type="dxa"/>
            <w:tcMar>
              <w:top w:w="0" w:type="dxa"/>
              <w:left w:w="108" w:type="dxa"/>
              <w:bottom w:w="0" w:type="dxa"/>
              <w:right w:w="108" w:type="dxa"/>
            </w:tcMar>
          </w:tcPr>
          <w:p w14:paraId="60D88E5E" w14:textId="0480DCDD"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lastRenderedPageBreak/>
              <w:t>Language of the coordination and candidacy. If such participation is admitted, can all mandatory oral communications, including selection interviews, initial orientation, required teacher training, technical tests, calls, internal meetings, contract coordination, and follow-up, also be made in Spanish? Separately, are the proposal, curriculum, references, materials, and 3–5 minute video in Annex C accepted in Spanish? If any document requires English, I would appreciate identifying it and specifying whether it requires translation. I do not offer translation services.</w:t>
            </w:r>
          </w:p>
        </w:tc>
        <w:tc>
          <w:tcPr>
            <w:tcW w:w="4950" w:type="dxa"/>
            <w:tcMar>
              <w:top w:w="0" w:type="dxa"/>
              <w:left w:w="108" w:type="dxa"/>
              <w:bottom w:w="0" w:type="dxa"/>
              <w:right w:w="108" w:type="dxa"/>
            </w:tcMar>
          </w:tcPr>
          <w:p w14:paraId="60D87170" w14:textId="3A79E3A0" w:rsidR="001E5DF8" w:rsidRPr="0058017E" w:rsidRDefault="0B209BF0" w:rsidP="02AF4764">
            <w:pPr>
              <w:rPr>
                <w:rFonts w:asciiTheme="minorHAnsi" w:hAnsiTheme="minorHAnsi" w:cstheme="minorBidi"/>
              </w:rPr>
            </w:pPr>
            <w:r w:rsidRPr="0058017E">
              <w:rPr>
                <w:rFonts w:asciiTheme="minorHAnsi" w:hAnsiTheme="minorHAnsi" w:cstheme="minorBidi"/>
              </w:rPr>
              <w:t>The vast majority of our business, both communicating with and working with NeighborWorks staff in addition to teaching and course development, is conducted in English and therefore English proficiency would be required.</w:t>
            </w:r>
          </w:p>
          <w:p w14:paraId="6EDA959C" w14:textId="076EFFDB" w:rsidR="001E5DF8" w:rsidRPr="0058017E" w:rsidRDefault="001E5DF8" w:rsidP="02AF4764">
            <w:pPr>
              <w:rPr>
                <w:rFonts w:asciiTheme="minorHAnsi" w:hAnsiTheme="minorHAnsi" w:cstheme="minorBidi"/>
              </w:rPr>
            </w:pPr>
          </w:p>
        </w:tc>
      </w:tr>
      <w:tr w:rsidR="001E5DF8" w:rsidRPr="0058017E" w14:paraId="3B38E07C" w14:textId="77777777" w:rsidTr="02AF4764">
        <w:tc>
          <w:tcPr>
            <w:tcW w:w="5212" w:type="dxa"/>
            <w:tcMar>
              <w:top w:w="0" w:type="dxa"/>
              <w:left w:w="108" w:type="dxa"/>
              <w:bottom w:w="0" w:type="dxa"/>
              <w:right w:w="108" w:type="dxa"/>
            </w:tcMar>
          </w:tcPr>
          <w:p w14:paraId="271DBDBC" w14:textId="5EA5C33B"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Service selection and assessment — C.1, C.4 and M. For an application limited to course delivery, without requesting course development or logistical support, how is the Course Development score applied and how are non-relevant fields completed? Is experience in all services required or is only the selected assessment assessed?</w:t>
            </w:r>
          </w:p>
        </w:tc>
        <w:tc>
          <w:tcPr>
            <w:tcW w:w="4950" w:type="dxa"/>
            <w:tcMar>
              <w:top w:w="0" w:type="dxa"/>
              <w:left w:w="108" w:type="dxa"/>
              <w:bottom w:w="0" w:type="dxa"/>
              <w:right w:w="108" w:type="dxa"/>
            </w:tcMar>
          </w:tcPr>
          <w:p w14:paraId="3B049E47" w14:textId="068BE1F3" w:rsidR="001E5DF8" w:rsidRPr="0058017E" w:rsidRDefault="36FDE319" w:rsidP="02AF4764">
            <w:pPr>
              <w:rPr>
                <w:rFonts w:asciiTheme="minorHAnsi" w:hAnsiTheme="minorHAnsi" w:cstheme="minorBidi"/>
              </w:rPr>
            </w:pPr>
            <w:r w:rsidRPr="0058017E">
              <w:rPr>
                <w:rFonts w:asciiTheme="minorHAnsi" w:hAnsiTheme="minorHAnsi" w:cstheme="minorBidi"/>
              </w:rPr>
              <w:t>We assess all areas.  NeighborWorks will assig</w:t>
            </w:r>
            <w:r w:rsidR="63632BA4" w:rsidRPr="0058017E">
              <w:rPr>
                <w:rFonts w:asciiTheme="minorHAnsi" w:hAnsiTheme="minorHAnsi" w:cstheme="minorBidi"/>
              </w:rPr>
              <w:t>n works based on best fit and availability.</w:t>
            </w:r>
          </w:p>
        </w:tc>
      </w:tr>
      <w:tr w:rsidR="001E5DF8" w:rsidRPr="0058017E" w14:paraId="1C211540" w14:textId="77777777" w:rsidTr="02AF4764">
        <w:tc>
          <w:tcPr>
            <w:tcW w:w="5212" w:type="dxa"/>
            <w:tcMar>
              <w:top w:w="0" w:type="dxa"/>
              <w:left w:w="108" w:type="dxa"/>
              <w:bottom w:w="0" w:type="dxa"/>
              <w:right w:w="108" w:type="dxa"/>
            </w:tcMar>
          </w:tcPr>
          <w:p w14:paraId="1008D4F5" w14:textId="183F8A13" w:rsidR="001E5DF8" w:rsidRPr="0058017E" w:rsidRDefault="001E5DF8" w:rsidP="02AF4764">
            <w:pPr>
              <w:pStyle w:val="ListParagraph"/>
              <w:numPr>
                <w:ilvl w:val="0"/>
                <w:numId w:val="21"/>
              </w:numPr>
              <w:spacing w:after="120"/>
              <w:ind w:left="360"/>
              <w:rPr>
                <w:rFonts w:asciiTheme="minorHAnsi" w:hAnsiTheme="minorHAnsi" w:cstheme="minorBidi"/>
              </w:rPr>
            </w:pPr>
            <w:r w:rsidRPr="0058017E">
              <w:t>Experience and References — C.4 and Attachment C. Can training and material development personally performed during prior employment, with the role and employer clearly identified, be credited without presenting them as Sentify contracts? For the Non-Profit Management and Leadership line, can that evidence pertain to people and process management in other organizations, or must it come specifically from the housing and community development sector? Would you keep the two references within the required five-year period.</w:t>
            </w:r>
          </w:p>
        </w:tc>
        <w:tc>
          <w:tcPr>
            <w:tcW w:w="4950" w:type="dxa"/>
            <w:tcMar>
              <w:top w:w="0" w:type="dxa"/>
              <w:left w:w="108" w:type="dxa"/>
              <w:bottom w:w="0" w:type="dxa"/>
              <w:right w:w="108" w:type="dxa"/>
            </w:tcMar>
          </w:tcPr>
          <w:p w14:paraId="7A3E476D" w14:textId="03C80C2E" w:rsidR="001E5DF8" w:rsidRPr="0058017E" w:rsidRDefault="152CB469" w:rsidP="02AF4764">
            <w:r w:rsidRPr="0058017E">
              <w:t>Training performed during prior employment will be accepted.</w:t>
            </w:r>
          </w:p>
          <w:p w14:paraId="42545646" w14:textId="3E63A273" w:rsidR="001E5DF8" w:rsidRPr="0058017E" w:rsidRDefault="001E5DF8" w:rsidP="02AF4764"/>
          <w:p w14:paraId="3DDE81A9" w14:textId="2343C682" w:rsidR="001E5DF8" w:rsidRPr="0058017E" w:rsidRDefault="152CB469" w:rsidP="02AF4764">
            <w:r w:rsidRPr="0058017E">
              <w:t>Yes. References must reflect performance within the past 5 years (Attachment C).</w:t>
            </w:r>
          </w:p>
        </w:tc>
      </w:tr>
      <w:tr w:rsidR="001E5DF8" w:rsidRPr="0058017E" w14:paraId="57175C94" w14:textId="77777777" w:rsidTr="02AF4764">
        <w:tc>
          <w:tcPr>
            <w:tcW w:w="5212" w:type="dxa"/>
            <w:tcMar>
              <w:top w:w="0" w:type="dxa"/>
              <w:left w:w="108" w:type="dxa"/>
              <w:bottom w:w="0" w:type="dxa"/>
              <w:right w:w="108" w:type="dxa"/>
            </w:tcMar>
          </w:tcPr>
          <w:p w14:paraId="3C38FE75" w14:textId="58A0B3FF" w:rsidR="001E5DF8" w:rsidRPr="0058017E" w:rsidRDefault="0D39E3EE" w:rsidP="79BE276B">
            <w:pPr>
              <w:pStyle w:val="ListParagraph"/>
              <w:numPr>
                <w:ilvl w:val="0"/>
                <w:numId w:val="21"/>
              </w:numPr>
              <w:spacing w:after="120"/>
              <w:ind w:left="360"/>
              <w:rPr>
                <w:rFonts w:asciiTheme="minorHAnsi" w:hAnsiTheme="minorHAnsi" w:cstheme="minorBidi"/>
              </w:rPr>
            </w:pPr>
            <w:r w:rsidRPr="0058017E">
              <w:lastRenderedPageBreak/>
              <w:t>Insurance — section H, page 17, and exhibit D, page 34. The specifications condition professional liability to certain professions and provide a general liability exception for contracts under $5,000; Exhibit D presents professional liability of $1 million and general liability as mandatory. What provision applies to an individual consultant with no employees or subcontractors? What coverages would be required for remote training and from what point in time? Is the threshold determined by the entire agreement or by each work order?</w:t>
            </w:r>
          </w:p>
        </w:tc>
        <w:tc>
          <w:tcPr>
            <w:tcW w:w="4950" w:type="dxa"/>
            <w:tcMar>
              <w:top w:w="0" w:type="dxa"/>
              <w:left w:w="108" w:type="dxa"/>
              <w:bottom w:w="0" w:type="dxa"/>
              <w:right w:w="108" w:type="dxa"/>
            </w:tcMar>
          </w:tcPr>
          <w:p w14:paraId="7186AFE8" w14:textId="5958BE4E" w:rsidR="001E5DF8" w:rsidRPr="0058017E" w:rsidRDefault="17061714" w:rsidP="001E5DF8">
            <w:r w:rsidRPr="0058017E">
              <w:rPr>
                <w:rFonts w:asciiTheme="minorHAnsi" w:hAnsiTheme="minorHAnsi" w:cstheme="minorBidi"/>
              </w:rPr>
              <w:t>NeighborWorks does not specify coverage levels – it requires that the contractor maintain coverage that is customary and appropriate.</w:t>
            </w:r>
          </w:p>
        </w:tc>
      </w:tr>
      <w:tr w:rsidR="001E5DF8" w:rsidRPr="0058017E" w14:paraId="7FBA88B2" w14:textId="77777777" w:rsidTr="02AF4764">
        <w:tc>
          <w:tcPr>
            <w:tcW w:w="5212" w:type="dxa"/>
            <w:tcMar>
              <w:top w:w="0" w:type="dxa"/>
              <w:left w:w="108" w:type="dxa"/>
              <w:bottom w:w="0" w:type="dxa"/>
              <w:right w:w="108" w:type="dxa"/>
            </w:tcMar>
          </w:tcPr>
          <w:p w14:paraId="36477900" w14:textId="28262736" w:rsidR="001E5DF8" w:rsidRPr="0058017E" w:rsidRDefault="001E5DF8" w:rsidP="02AF4764">
            <w:pPr>
              <w:pStyle w:val="ListParagraph"/>
              <w:numPr>
                <w:ilvl w:val="0"/>
                <w:numId w:val="21"/>
              </w:numPr>
              <w:spacing w:after="120"/>
              <w:ind w:left="360"/>
              <w:rPr>
                <w:rFonts w:asciiTheme="minorHAnsi" w:hAnsiTheme="minorHAnsi" w:cstheme="minorBidi"/>
              </w:rPr>
            </w:pPr>
            <w:commentRangeStart w:id="11"/>
            <w:r w:rsidRPr="0058017E">
              <w:t>Fees and preparation — section B and annexes B/D. How many hours constitute a billable day? Does the half-day allotted to the webinar in Annex B include preparation and technical testing, or are those activities paid separately? The fee schedule asks for daily amounts per period, but page 40 of Annex D mentions a maximum total: what economic information must be submitted when no number of days or volume of work is established?</w:t>
            </w:r>
            <w:commentRangeEnd w:id="11"/>
            <w:r w:rsidRPr="0058017E">
              <w:rPr>
                <w:rStyle w:val="CommentReference"/>
                <w:rFonts w:asciiTheme="minorHAnsi" w:hAnsiTheme="minorHAnsi" w:cstheme="minorBidi"/>
                <w:sz w:val="22"/>
                <w:szCs w:val="22"/>
              </w:rPr>
              <w:commentReference w:id="11"/>
            </w:r>
          </w:p>
        </w:tc>
        <w:tc>
          <w:tcPr>
            <w:tcW w:w="4950" w:type="dxa"/>
            <w:tcMar>
              <w:top w:w="0" w:type="dxa"/>
              <w:left w:w="108" w:type="dxa"/>
              <w:bottom w:w="0" w:type="dxa"/>
              <w:right w:w="108" w:type="dxa"/>
            </w:tcMar>
          </w:tcPr>
          <w:p w14:paraId="6EF9C9AB" w14:textId="34C3257F" w:rsidR="001E5DF8" w:rsidRPr="0058017E" w:rsidRDefault="3E514651" w:rsidP="02AF4764">
            <w:pPr>
              <w:rPr>
                <w:rFonts w:asciiTheme="minorHAnsi" w:hAnsiTheme="minorHAnsi" w:cstheme="minorBidi"/>
              </w:rPr>
            </w:pPr>
            <w:r w:rsidRPr="0058017E">
              <w:rPr>
                <w:rFonts w:asciiTheme="minorHAnsi" w:hAnsiTheme="minorHAnsi" w:cstheme="minorBidi"/>
              </w:rPr>
              <w:t>A billable day is based on 8 working hours, and therefore a half day would be considered 4 hours. Webinars usually run from 45-90 minutes so the half day also includes preparat</w:t>
            </w:r>
            <w:r w:rsidR="44CF5F5F" w:rsidRPr="0058017E">
              <w:rPr>
                <w:rFonts w:asciiTheme="minorHAnsi" w:hAnsiTheme="minorHAnsi" w:cstheme="minorBidi"/>
              </w:rPr>
              <w:t>ion and technical testing. Some work, like course delivery, has a prescribed fee schedule, other pro</w:t>
            </w:r>
            <w:r w:rsidR="440E12F9" w:rsidRPr="0058017E">
              <w:rPr>
                <w:rFonts w:asciiTheme="minorHAnsi" w:hAnsiTheme="minorHAnsi" w:cstheme="minorBidi"/>
              </w:rPr>
              <w:t xml:space="preserve">jects depend on the scope of work and exact fee amount is determined per project. This is </w:t>
            </w:r>
            <w:r w:rsidR="5F58D0B2" w:rsidRPr="0058017E">
              <w:rPr>
                <w:rFonts w:asciiTheme="minorHAnsi" w:hAnsiTheme="minorHAnsi" w:cstheme="minorBidi"/>
              </w:rPr>
              <w:t>determined by NeighborWorks staff in consultation with faculty.</w:t>
            </w:r>
          </w:p>
        </w:tc>
      </w:tr>
      <w:tr w:rsidR="001E5DF8" w:rsidRPr="0058017E" w14:paraId="2C53B6DB" w14:textId="77777777" w:rsidTr="02AF4764">
        <w:tc>
          <w:tcPr>
            <w:tcW w:w="5212" w:type="dxa"/>
            <w:tcMar>
              <w:top w:w="0" w:type="dxa"/>
              <w:left w:w="108" w:type="dxa"/>
              <w:bottom w:w="0" w:type="dxa"/>
              <w:right w:w="108" w:type="dxa"/>
            </w:tcMar>
          </w:tcPr>
          <w:p w14:paraId="5F5A4194" w14:textId="5ABB19D5" w:rsidR="001E5DF8" w:rsidRPr="0058017E" w:rsidRDefault="001E5DF8" w:rsidP="001E5DF8">
            <w:pPr>
              <w:pStyle w:val="ListParagraph"/>
              <w:numPr>
                <w:ilvl w:val="0"/>
                <w:numId w:val="21"/>
              </w:numPr>
              <w:spacing w:after="120"/>
              <w:ind w:left="360"/>
              <w:rPr>
                <w:rFonts w:asciiTheme="minorHAnsi" w:hAnsiTheme="minorHAnsi" w:cstheme="minorHAnsi"/>
              </w:rPr>
            </w:pPr>
            <w:r w:rsidRPr="0058017E">
              <w:t>Work Orders and Payment — Section G. Is there a guaranteed minimum allowance? Can an allowance be declined for language or availability without losing consideration for other compatible ones? Are partial or monthly invoices allowed and what is the usual payment term from acceptance?</w:t>
            </w:r>
          </w:p>
        </w:tc>
        <w:tc>
          <w:tcPr>
            <w:tcW w:w="4950" w:type="dxa"/>
            <w:tcMar>
              <w:top w:w="0" w:type="dxa"/>
              <w:left w:w="108" w:type="dxa"/>
              <w:bottom w:w="0" w:type="dxa"/>
              <w:right w:w="108" w:type="dxa"/>
            </w:tcMar>
          </w:tcPr>
          <w:p w14:paraId="4A1B57B9" w14:textId="696CF0D5" w:rsidR="001E5DF8" w:rsidRPr="0058017E" w:rsidRDefault="02F74ECC" w:rsidP="02AF4764">
            <w:pPr>
              <w:spacing w:before="210" w:after="210" w:line="300" w:lineRule="auto"/>
            </w:pPr>
            <w:r w:rsidRPr="0058017E">
              <w:rPr>
                <w:rFonts w:ascii="Segoe UI" w:eastAsia="Segoe UI" w:hAnsi="Segoe UI" w:cs="Segoe UI"/>
                <w:sz w:val="21"/>
                <w:szCs w:val="21"/>
              </w:rPr>
              <w:t>There is no guaranteed minimum amount of work associated with selection as a faculty consultant. Work orders are issued based on business needs and available opportunities.</w:t>
            </w:r>
          </w:p>
          <w:p w14:paraId="3974359A" w14:textId="62BCDD4C" w:rsidR="001E5DF8" w:rsidRPr="0058017E" w:rsidRDefault="02F74ECC" w:rsidP="02AF4764">
            <w:pPr>
              <w:spacing w:before="210" w:after="210" w:line="300" w:lineRule="auto"/>
            </w:pPr>
            <w:r w:rsidRPr="0058017E">
              <w:rPr>
                <w:rFonts w:ascii="Segoe UI" w:eastAsia="Segoe UI" w:hAnsi="Segoe UI" w:cs="Segoe UI"/>
                <w:sz w:val="21"/>
                <w:szCs w:val="21"/>
              </w:rPr>
              <w:t>Consultants are free to decline assignments for reasons such as language requirements or availability, and doing so will not remove them from consideration for future assignments.</w:t>
            </w:r>
          </w:p>
          <w:p w14:paraId="063DBAC7" w14:textId="30189691" w:rsidR="001E5DF8" w:rsidRPr="0058017E" w:rsidRDefault="02F74ECC" w:rsidP="02AF4764">
            <w:pPr>
              <w:spacing w:before="210" w:after="210" w:line="300" w:lineRule="auto"/>
            </w:pPr>
            <w:r w:rsidRPr="0058017E">
              <w:rPr>
                <w:rFonts w:ascii="Segoe UI" w:eastAsia="Segoe UI" w:hAnsi="Segoe UI" w:cs="Segoe UI"/>
                <w:sz w:val="21"/>
                <w:szCs w:val="21"/>
              </w:rPr>
              <w:t>In most cases, consultants invoice upon completion of the work outlined in a work order, although exceptions may be considered depending on the nature and duration of the engagement.</w:t>
            </w:r>
          </w:p>
          <w:p w14:paraId="2492BC6F" w14:textId="02B575ED" w:rsidR="001E5DF8" w:rsidRPr="0058017E" w:rsidRDefault="001E5DF8" w:rsidP="02AF4764">
            <w:pPr>
              <w:rPr>
                <w:rFonts w:asciiTheme="minorHAnsi" w:hAnsiTheme="minorHAnsi" w:cstheme="minorBidi"/>
              </w:rPr>
            </w:pPr>
          </w:p>
        </w:tc>
      </w:tr>
      <w:tr w:rsidR="001E5DF8" w:rsidRPr="0058017E" w14:paraId="16C830B1" w14:textId="77777777" w:rsidTr="02AF4764">
        <w:tc>
          <w:tcPr>
            <w:tcW w:w="5212" w:type="dxa"/>
            <w:tcMar>
              <w:top w:w="0" w:type="dxa"/>
              <w:left w:w="108" w:type="dxa"/>
              <w:bottom w:w="0" w:type="dxa"/>
              <w:right w:w="108" w:type="dxa"/>
            </w:tcMar>
          </w:tcPr>
          <w:p w14:paraId="2A2EAFE3" w14:textId="56DAEAB3" w:rsidR="001E5DF8" w:rsidRPr="0058017E" w:rsidRDefault="001E5DF8" w:rsidP="001E5DF8">
            <w:pPr>
              <w:pStyle w:val="ListParagraph"/>
              <w:numPr>
                <w:ilvl w:val="0"/>
                <w:numId w:val="21"/>
              </w:numPr>
              <w:spacing w:after="120"/>
              <w:ind w:left="360"/>
              <w:rPr>
                <w:rFonts w:asciiTheme="minorHAnsi" w:hAnsiTheme="minorHAnsi" w:cstheme="minorHAnsi"/>
              </w:rPr>
            </w:pPr>
            <w:r w:rsidRPr="0058017E">
              <w:lastRenderedPageBreak/>
              <w:t>Tools and Information Management — Annex A. For remote training from Puerto Rico, what platform, access, and work environment does NeighborWorks authorize or provide? The policy restricts storage on personal computers and contemplates approved remote locations: what specific conditions must a consultant who works from her home office and does not provide technology services meet?</w:t>
            </w:r>
          </w:p>
        </w:tc>
        <w:tc>
          <w:tcPr>
            <w:tcW w:w="4950" w:type="dxa"/>
            <w:tcMar>
              <w:top w:w="0" w:type="dxa"/>
              <w:left w:w="108" w:type="dxa"/>
              <w:bottom w:w="0" w:type="dxa"/>
              <w:right w:w="108" w:type="dxa"/>
            </w:tcMar>
          </w:tcPr>
          <w:p w14:paraId="5C1E7054" w14:textId="24D17E17" w:rsidR="001E5DF8" w:rsidRPr="0058017E" w:rsidRDefault="786315D6" w:rsidP="02AF4764">
            <w:pPr>
              <w:spacing w:line="259" w:lineRule="auto"/>
            </w:pPr>
            <w:r w:rsidRPr="0058017E">
              <w:rPr>
                <w:rFonts w:asciiTheme="minorHAnsi" w:hAnsiTheme="minorHAnsi" w:cstheme="minorBidi"/>
              </w:rPr>
              <w:t xml:space="preserve">NeighborWorks will provide access to </w:t>
            </w:r>
            <w:r w:rsidR="35F8257E" w:rsidRPr="0058017E">
              <w:rPr>
                <w:rFonts w:asciiTheme="minorHAnsi" w:hAnsiTheme="minorHAnsi" w:cstheme="minorBidi"/>
              </w:rPr>
              <w:t>the online platform at the time of award</w:t>
            </w:r>
            <w:r w:rsidRPr="0058017E">
              <w:rPr>
                <w:rFonts w:asciiTheme="minorHAnsi" w:hAnsiTheme="minorHAnsi" w:cstheme="minorBidi"/>
              </w:rPr>
              <w:t xml:space="preserve">. Additional information will be provided </w:t>
            </w:r>
            <w:r w:rsidR="6BD81698" w:rsidRPr="0058017E">
              <w:rPr>
                <w:rFonts w:asciiTheme="minorHAnsi" w:hAnsiTheme="minorHAnsi" w:cstheme="minorBidi"/>
              </w:rPr>
              <w:t>during the awards process.</w:t>
            </w:r>
          </w:p>
        </w:tc>
      </w:tr>
      <w:tr w:rsidR="001E5DF8" w:rsidRPr="0058017E" w14:paraId="3A837D39" w14:textId="77777777" w:rsidTr="02AF4764">
        <w:tc>
          <w:tcPr>
            <w:tcW w:w="5212" w:type="dxa"/>
            <w:tcMar>
              <w:top w:w="0" w:type="dxa"/>
              <w:left w:w="108" w:type="dxa"/>
              <w:bottom w:w="0" w:type="dxa"/>
              <w:right w:w="108" w:type="dxa"/>
            </w:tcMar>
          </w:tcPr>
          <w:p w14:paraId="2BCB687A" w14:textId="276ACB91" w:rsidR="001E5DF8" w:rsidRPr="0058017E" w:rsidRDefault="001E5DF8" w:rsidP="001E5DF8">
            <w:pPr>
              <w:pStyle w:val="ListParagraph"/>
              <w:numPr>
                <w:ilvl w:val="0"/>
                <w:numId w:val="21"/>
              </w:numPr>
              <w:spacing w:after="120"/>
              <w:ind w:left="360"/>
              <w:rPr>
                <w:rFonts w:asciiTheme="minorHAnsi" w:hAnsiTheme="minorHAnsi" w:cstheme="minorHAnsi"/>
              </w:rPr>
            </w:pPr>
            <w:r w:rsidRPr="0058017E">
              <w:t>Consistency of documents. Section L of the Specification indicates October 26, 2025 for questions; page 40 of Exhibit D indicates October 26, 2026, at 5:00 p.m. ET. Can you confirm applicable date and time zone? In addition, the certification on page 38 of Exhibit D identifies RFP #SL2729485, while this process is RFP-27-0033. I would appreciate clarifying the correct reference and which document prevails over differences.</w:t>
            </w:r>
          </w:p>
        </w:tc>
        <w:tc>
          <w:tcPr>
            <w:tcW w:w="4950" w:type="dxa"/>
            <w:tcMar>
              <w:top w:w="0" w:type="dxa"/>
              <w:left w:w="108" w:type="dxa"/>
              <w:bottom w:w="0" w:type="dxa"/>
              <w:right w:w="108" w:type="dxa"/>
            </w:tcMar>
          </w:tcPr>
          <w:p w14:paraId="3573E776" w14:textId="1F44D696" w:rsidR="001E5DF8" w:rsidRPr="0058017E" w:rsidRDefault="7301361B" w:rsidP="79BE276B">
            <w:pPr>
              <w:rPr>
                <w:rFonts w:asciiTheme="minorHAnsi" w:hAnsiTheme="minorHAnsi" w:cstheme="minorBidi"/>
              </w:rPr>
            </w:pPr>
            <w:r w:rsidRPr="0058017E">
              <w:rPr>
                <w:rFonts w:asciiTheme="minorHAnsi" w:hAnsiTheme="minorHAnsi" w:cstheme="minorBidi"/>
              </w:rPr>
              <w:t>All time zones are in EST. We will make the proper updates to the forms and updates.</w:t>
            </w:r>
          </w:p>
        </w:tc>
      </w:tr>
      <w:tr w:rsidR="00C54598" w:rsidRPr="0058017E" w14:paraId="5448F5CC" w14:textId="77777777" w:rsidTr="02AF4764">
        <w:tc>
          <w:tcPr>
            <w:tcW w:w="5212" w:type="dxa"/>
            <w:tcMar>
              <w:top w:w="0" w:type="dxa"/>
              <w:left w:w="108" w:type="dxa"/>
              <w:bottom w:w="0" w:type="dxa"/>
              <w:right w:w="108" w:type="dxa"/>
            </w:tcMar>
          </w:tcPr>
          <w:p w14:paraId="7EB5B602" w14:textId="586A160F" w:rsidR="00C54598" w:rsidRPr="0058017E" w:rsidRDefault="00C54598" w:rsidP="02AF4764">
            <w:pPr>
              <w:pStyle w:val="ListParagraph"/>
              <w:numPr>
                <w:ilvl w:val="0"/>
                <w:numId w:val="21"/>
              </w:numPr>
              <w:spacing w:after="120"/>
              <w:ind w:left="360"/>
              <w:rPr>
                <w:rFonts w:asciiTheme="minorHAnsi" w:hAnsiTheme="minorHAnsi" w:cstheme="minorBidi"/>
              </w:rPr>
            </w:pPr>
            <w:commentRangeStart w:id="13"/>
            <w:r w:rsidRPr="0058017E">
              <w:t>May a consultant propose only technical assistance and course/program support, or must every offeror also provide evidence of prior course delivery and course development equivalent to a NeighborWorks catalog course?</w:t>
            </w:r>
            <w:commentRangeEnd w:id="13"/>
            <w:r w:rsidRPr="0058017E">
              <w:rPr>
                <w:rStyle w:val="CommentReference"/>
                <w:rFonts w:asciiTheme="minorHAnsi" w:hAnsiTheme="minorHAnsi" w:cstheme="minorBidi"/>
                <w:sz w:val="22"/>
                <w:szCs w:val="22"/>
              </w:rPr>
              <w:commentReference w:id="13"/>
            </w:r>
          </w:p>
        </w:tc>
        <w:tc>
          <w:tcPr>
            <w:tcW w:w="4950" w:type="dxa"/>
            <w:tcMar>
              <w:top w:w="0" w:type="dxa"/>
              <w:left w:w="108" w:type="dxa"/>
              <w:bottom w:w="0" w:type="dxa"/>
              <w:right w:w="108" w:type="dxa"/>
            </w:tcMar>
          </w:tcPr>
          <w:p w14:paraId="1C145D38" w14:textId="00E513D7" w:rsidR="00C54598" w:rsidRPr="0058017E" w:rsidRDefault="37121EE6" w:rsidP="02AF4764">
            <w:r w:rsidRPr="0058017E">
              <w:rPr>
                <w:rFonts w:ascii="Segoe UI" w:eastAsia="Segoe UI" w:hAnsi="Segoe UI" w:cs="Segoe UI"/>
                <w:color w:val="242424"/>
                <w:sz w:val="21"/>
                <w:szCs w:val="21"/>
              </w:rPr>
              <w:t>The vast majority of work for faculty consultants revolves around either course delivery or development, and it is unlikely we would engage with a consultant that did not provide either of those two services.</w:t>
            </w:r>
          </w:p>
        </w:tc>
      </w:tr>
      <w:tr w:rsidR="00C54598" w:rsidRPr="0058017E" w14:paraId="39520E81" w14:textId="77777777" w:rsidTr="02AF4764">
        <w:tc>
          <w:tcPr>
            <w:tcW w:w="5212" w:type="dxa"/>
            <w:tcMar>
              <w:top w:w="0" w:type="dxa"/>
              <w:left w:w="108" w:type="dxa"/>
              <w:bottom w:w="0" w:type="dxa"/>
              <w:right w:w="108" w:type="dxa"/>
            </w:tcMar>
          </w:tcPr>
          <w:p w14:paraId="54AC8EE1" w14:textId="78DD28D1" w:rsidR="00C54598" w:rsidRPr="0058017E" w:rsidRDefault="00C54598" w:rsidP="00C54598">
            <w:pPr>
              <w:pStyle w:val="ListParagraph"/>
              <w:numPr>
                <w:ilvl w:val="0"/>
                <w:numId w:val="21"/>
              </w:numPr>
              <w:spacing w:after="120"/>
              <w:ind w:left="360"/>
              <w:rPr>
                <w:rFonts w:asciiTheme="minorHAnsi" w:hAnsiTheme="minorHAnsi" w:cstheme="minorHAnsi"/>
              </w:rPr>
            </w:pPr>
            <w:r w:rsidRPr="0058017E">
              <w:t>Must the SAM.gov Unique Entity Identifier be active by the November 13 proposal deadline, or may a small-business applicant identify a pending registration?</w:t>
            </w:r>
          </w:p>
        </w:tc>
        <w:tc>
          <w:tcPr>
            <w:tcW w:w="4950" w:type="dxa"/>
            <w:tcMar>
              <w:top w:w="0" w:type="dxa"/>
              <w:left w:w="108" w:type="dxa"/>
              <w:bottom w:w="0" w:type="dxa"/>
              <w:right w:w="108" w:type="dxa"/>
            </w:tcMar>
          </w:tcPr>
          <w:p w14:paraId="7AF237C2" w14:textId="2731D958" w:rsidR="00C54598" w:rsidRPr="0058017E" w:rsidRDefault="7FE140FB" w:rsidP="00C54598">
            <w:r w:rsidRPr="0058017E">
              <w:rPr>
                <w:rFonts w:asciiTheme="minorHAnsi" w:hAnsiTheme="minorHAnsi" w:cstheme="minorBidi"/>
              </w:rPr>
              <w:t>Please see the answer to question 5.</w:t>
            </w:r>
          </w:p>
        </w:tc>
      </w:tr>
      <w:tr w:rsidR="00C54598" w:rsidRPr="0058017E" w14:paraId="2C8AF125" w14:textId="77777777" w:rsidTr="02AF4764">
        <w:tc>
          <w:tcPr>
            <w:tcW w:w="5212" w:type="dxa"/>
            <w:tcMar>
              <w:top w:w="0" w:type="dxa"/>
              <w:left w:w="108" w:type="dxa"/>
              <w:bottom w:w="0" w:type="dxa"/>
              <w:right w:w="108" w:type="dxa"/>
            </w:tcMar>
          </w:tcPr>
          <w:p w14:paraId="0451E697" w14:textId="5773E54B" w:rsidR="00C54598" w:rsidRPr="0058017E" w:rsidRDefault="33D1C4F6" w:rsidP="79BE276B">
            <w:pPr>
              <w:pStyle w:val="ListParagraph"/>
              <w:numPr>
                <w:ilvl w:val="0"/>
                <w:numId w:val="21"/>
              </w:numPr>
              <w:spacing w:after="120"/>
              <w:ind w:left="360"/>
              <w:rPr>
                <w:rFonts w:asciiTheme="minorHAnsi" w:hAnsiTheme="minorHAnsi" w:cstheme="minorBidi"/>
              </w:rPr>
            </w:pPr>
            <w:r w:rsidRPr="0058017E">
              <w:t>How should a sole proprietor with no employees address the workers’ compensation and employer’s liability provisions?</w:t>
            </w:r>
          </w:p>
        </w:tc>
        <w:tc>
          <w:tcPr>
            <w:tcW w:w="4950" w:type="dxa"/>
            <w:tcMar>
              <w:top w:w="0" w:type="dxa"/>
              <w:left w:w="108" w:type="dxa"/>
              <w:bottom w:w="0" w:type="dxa"/>
              <w:right w:w="108" w:type="dxa"/>
            </w:tcMar>
          </w:tcPr>
          <w:p w14:paraId="5507EFE4" w14:textId="67537A0E" w:rsidR="00C54598" w:rsidRPr="0058017E" w:rsidRDefault="64D315A4" w:rsidP="00C54598">
            <w:r w:rsidRPr="0058017E">
              <w:rPr>
                <w:rFonts w:asciiTheme="minorHAnsi" w:hAnsiTheme="minorHAnsi" w:cstheme="minorBidi"/>
              </w:rPr>
              <w:t>Sole proprietors are not required to have insurance that is not applicable.</w:t>
            </w:r>
          </w:p>
        </w:tc>
      </w:tr>
      <w:tr w:rsidR="00C54598" w:rsidRPr="0058017E" w14:paraId="305FF341" w14:textId="77777777" w:rsidTr="02AF4764">
        <w:tc>
          <w:tcPr>
            <w:tcW w:w="5212" w:type="dxa"/>
            <w:tcMar>
              <w:top w:w="0" w:type="dxa"/>
              <w:left w:w="108" w:type="dxa"/>
              <w:bottom w:w="0" w:type="dxa"/>
              <w:right w:w="108" w:type="dxa"/>
            </w:tcMar>
          </w:tcPr>
          <w:p w14:paraId="7DACA5E3" w14:textId="14304265" w:rsidR="00C54598" w:rsidRPr="0058017E" w:rsidRDefault="00C54598" w:rsidP="02AF4764">
            <w:pPr>
              <w:pStyle w:val="ListParagraph"/>
              <w:numPr>
                <w:ilvl w:val="0"/>
                <w:numId w:val="21"/>
              </w:numPr>
              <w:spacing w:after="120"/>
              <w:ind w:left="360"/>
              <w:rPr>
                <w:rFonts w:asciiTheme="minorHAnsi" w:hAnsiTheme="minorHAnsi" w:cstheme="minorBidi"/>
              </w:rPr>
            </w:pPr>
            <w:r w:rsidRPr="0058017E">
              <w:t>May a consultant limit availability to online course de</w:t>
            </w:r>
            <w:commentRangeStart w:id="14"/>
            <w:r w:rsidRPr="0058017E">
              <w:t>livery and remote technical assistance, accepting only work orders compatible with that delivery mode</w:t>
            </w:r>
            <w:commentRangeEnd w:id="14"/>
            <w:r w:rsidRPr="0058017E">
              <w:rPr>
                <w:rStyle w:val="CommentReference"/>
                <w:sz w:val="22"/>
                <w:szCs w:val="22"/>
              </w:rPr>
              <w:commentReference w:id="14"/>
            </w:r>
            <w:r w:rsidRPr="0058017E">
              <w:t>l?</w:t>
            </w:r>
          </w:p>
        </w:tc>
        <w:tc>
          <w:tcPr>
            <w:tcW w:w="4950" w:type="dxa"/>
            <w:tcMar>
              <w:top w:w="0" w:type="dxa"/>
              <w:left w:w="108" w:type="dxa"/>
              <w:bottom w:w="0" w:type="dxa"/>
              <w:right w:w="108" w:type="dxa"/>
            </w:tcMar>
          </w:tcPr>
          <w:p w14:paraId="6364E2DC" w14:textId="0380B354" w:rsidR="00C54598" w:rsidRPr="0058017E" w:rsidRDefault="73EFF9F2" w:rsidP="02AF4764">
            <w:r w:rsidRPr="0058017E">
              <w:rPr>
                <w:rFonts w:ascii="Segoe UI" w:eastAsia="Segoe UI" w:hAnsi="Segoe UI" w:cs="Segoe UI"/>
                <w:color w:val="242424"/>
                <w:sz w:val="21"/>
                <w:szCs w:val="21"/>
              </w:rPr>
              <w:t>Faculty are neither obligated to accept work assignments, nor are they guaranteed work assignments, and can communicate with NeighborWorks staff around preferences and availability.</w:t>
            </w:r>
          </w:p>
        </w:tc>
      </w:tr>
      <w:tr w:rsidR="00C54598" w:rsidRPr="0058017E" w14:paraId="1996FC8F" w14:textId="77777777" w:rsidTr="02AF4764">
        <w:tc>
          <w:tcPr>
            <w:tcW w:w="5212" w:type="dxa"/>
            <w:tcMar>
              <w:top w:w="0" w:type="dxa"/>
              <w:left w:w="108" w:type="dxa"/>
              <w:bottom w:w="0" w:type="dxa"/>
              <w:right w:w="108" w:type="dxa"/>
            </w:tcMar>
          </w:tcPr>
          <w:p w14:paraId="6AEA049E" w14:textId="4DD462C9" w:rsidR="00C54598" w:rsidRPr="0058017E" w:rsidRDefault="00C54598" w:rsidP="00C54598">
            <w:pPr>
              <w:pStyle w:val="ListParagraph"/>
              <w:numPr>
                <w:ilvl w:val="0"/>
                <w:numId w:val="21"/>
              </w:numPr>
              <w:spacing w:after="120"/>
              <w:ind w:left="360"/>
            </w:pPr>
            <w:r w:rsidRPr="0058017E">
              <w:t>For the training pool, must a SAM.gov UEI be available when the proposal is submitted, or can it be supplied before award? The sample form still has a DUNS field that allows N/A.</w:t>
            </w:r>
          </w:p>
        </w:tc>
        <w:tc>
          <w:tcPr>
            <w:tcW w:w="4950" w:type="dxa"/>
            <w:tcMar>
              <w:top w:w="0" w:type="dxa"/>
              <w:left w:w="108" w:type="dxa"/>
              <w:bottom w:w="0" w:type="dxa"/>
              <w:right w:w="108" w:type="dxa"/>
            </w:tcMar>
          </w:tcPr>
          <w:p w14:paraId="5C4F69E6" w14:textId="2731D958" w:rsidR="00C54598" w:rsidRPr="0058017E" w:rsidRDefault="3F08C011" w:rsidP="00C54598">
            <w:r w:rsidRPr="0058017E">
              <w:rPr>
                <w:rFonts w:asciiTheme="minorHAnsi" w:hAnsiTheme="minorHAnsi" w:cstheme="minorBidi"/>
              </w:rPr>
              <w:t>Please see the answer to question 5.</w:t>
            </w:r>
          </w:p>
          <w:p w14:paraId="2EC0129E" w14:textId="78B18BC1" w:rsidR="00C54598" w:rsidRPr="0058017E" w:rsidRDefault="00C54598" w:rsidP="79BE276B">
            <w:pPr>
              <w:rPr>
                <w:rFonts w:asciiTheme="minorHAnsi" w:hAnsiTheme="minorHAnsi" w:cstheme="minorBidi"/>
              </w:rPr>
            </w:pPr>
          </w:p>
        </w:tc>
      </w:tr>
      <w:tr w:rsidR="00C54598" w:rsidRPr="0058017E" w14:paraId="49F24DDD" w14:textId="77777777" w:rsidTr="02AF4764">
        <w:tc>
          <w:tcPr>
            <w:tcW w:w="5212" w:type="dxa"/>
            <w:tcMar>
              <w:top w:w="0" w:type="dxa"/>
              <w:left w:w="108" w:type="dxa"/>
              <w:bottom w:w="0" w:type="dxa"/>
              <w:right w:w="108" w:type="dxa"/>
            </w:tcMar>
          </w:tcPr>
          <w:p w14:paraId="6AC79AD7" w14:textId="67DE94E1" w:rsidR="00C54598" w:rsidRPr="0058017E" w:rsidRDefault="00C54598" w:rsidP="00C54598">
            <w:pPr>
              <w:pStyle w:val="ListParagraph"/>
              <w:numPr>
                <w:ilvl w:val="0"/>
                <w:numId w:val="21"/>
              </w:numPr>
              <w:spacing w:after="120"/>
              <w:ind w:left="360"/>
            </w:pPr>
            <w:r w:rsidRPr="0058017E">
              <w:lastRenderedPageBreak/>
              <w:t>How is a billable day defined, and how does Attachment B treat preparation time and shorter workshops? What teaching-video length and format do you require?</w:t>
            </w:r>
          </w:p>
        </w:tc>
        <w:tc>
          <w:tcPr>
            <w:tcW w:w="4950" w:type="dxa"/>
            <w:tcMar>
              <w:top w:w="0" w:type="dxa"/>
              <w:left w:w="108" w:type="dxa"/>
              <w:bottom w:w="0" w:type="dxa"/>
              <w:right w:w="108" w:type="dxa"/>
            </w:tcMar>
          </w:tcPr>
          <w:p w14:paraId="16F5E0BF" w14:textId="26A31E4E" w:rsidR="5752AF17" w:rsidRPr="0058017E" w:rsidRDefault="5752AF17">
            <w:r w:rsidRPr="0058017E">
              <w:rPr>
                <w:rFonts w:asciiTheme="minorHAnsi" w:hAnsiTheme="minorHAnsi" w:cstheme="minorBidi"/>
              </w:rPr>
              <w:t>For answer regarding the billable, see Q31</w:t>
            </w:r>
          </w:p>
          <w:p w14:paraId="4B5EB8AC" w14:textId="28247A66" w:rsidR="00C54598" w:rsidRPr="0058017E" w:rsidRDefault="24596AFB" w:rsidP="00C54598">
            <w:r w:rsidRPr="0058017E">
              <w:rPr>
                <w:rFonts w:asciiTheme="minorHAnsi" w:hAnsiTheme="minorHAnsi" w:cstheme="minorBidi"/>
              </w:rPr>
              <w:t>For answer regarding the video, see Q1.</w:t>
            </w:r>
          </w:p>
          <w:p w14:paraId="068C284A" w14:textId="704EC6D1" w:rsidR="00C54598" w:rsidRPr="0058017E" w:rsidRDefault="00C54598" w:rsidP="02AF4764">
            <w:pPr>
              <w:rPr>
                <w:rFonts w:asciiTheme="minorHAnsi" w:hAnsiTheme="minorHAnsi" w:cstheme="minorBidi"/>
              </w:rPr>
            </w:pPr>
          </w:p>
        </w:tc>
      </w:tr>
      <w:tr w:rsidR="00C54598" w:rsidRPr="0058017E" w14:paraId="14047FAF" w14:textId="77777777" w:rsidTr="02AF4764">
        <w:tc>
          <w:tcPr>
            <w:tcW w:w="5212" w:type="dxa"/>
            <w:tcMar>
              <w:top w:w="0" w:type="dxa"/>
              <w:left w:w="108" w:type="dxa"/>
              <w:bottom w:w="0" w:type="dxa"/>
              <w:right w:w="108" w:type="dxa"/>
            </w:tcMar>
          </w:tcPr>
          <w:p w14:paraId="0431EB4F" w14:textId="6102701A" w:rsidR="00C54598" w:rsidRPr="0058017E" w:rsidRDefault="00C54598" w:rsidP="00C54598">
            <w:pPr>
              <w:pStyle w:val="ListParagraph"/>
              <w:numPr>
                <w:ilvl w:val="0"/>
                <w:numId w:val="21"/>
              </w:numPr>
              <w:spacing w:after="120"/>
              <w:ind w:left="360"/>
            </w:pPr>
            <w:r w:rsidRPr="0058017E">
              <w:t>Could you share PDF copies of training Attachments B and C and the Success Measures Q&amp;A, or point me to accessible versions?</w:t>
            </w:r>
          </w:p>
        </w:tc>
        <w:tc>
          <w:tcPr>
            <w:tcW w:w="4950" w:type="dxa"/>
            <w:tcMar>
              <w:top w:w="0" w:type="dxa"/>
              <w:left w:w="108" w:type="dxa"/>
              <w:bottom w:w="0" w:type="dxa"/>
              <w:right w:w="108" w:type="dxa"/>
            </w:tcMar>
          </w:tcPr>
          <w:p w14:paraId="0A1CF58B" w14:textId="0A773E90" w:rsidR="00C54598" w:rsidRPr="0058017E" w:rsidRDefault="5A2B851E" w:rsidP="00C54598">
            <w:r w:rsidRPr="0058017E">
              <w:rPr>
                <w:rFonts w:asciiTheme="minorHAnsi" w:hAnsiTheme="minorHAnsi" w:cstheme="minorBidi"/>
              </w:rPr>
              <w:t xml:space="preserve">Please visit </w:t>
            </w:r>
            <w:hyperlink r:id="rId15">
              <w:r w:rsidRPr="0058017E">
                <w:rPr>
                  <w:rStyle w:val="Hyperlink"/>
                  <w:rFonts w:asciiTheme="minorHAnsi" w:hAnsiTheme="minorHAnsi" w:cstheme="minorBidi"/>
                </w:rPr>
                <w:t>our website</w:t>
              </w:r>
            </w:hyperlink>
            <w:r w:rsidRPr="0058017E">
              <w:rPr>
                <w:rFonts w:asciiTheme="minorHAnsi" w:hAnsiTheme="minorHAnsi" w:cstheme="minorBidi"/>
              </w:rPr>
              <w:t xml:space="preserve"> for all available documents.</w:t>
            </w:r>
          </w:p>
        </w:tc>
      </w:tr>
      <w:tr w:rsidR="00C54598" w:rsidRPr="0058017E" w14:paraId="7ADB371F" w14:textId="77777777" w:rsidTr="02AF4764">
        <w:tc>
          <w:tcPr>
            <w:tcW w:w="5212" w:type="dxa"/>
            <w:tcMar>
              <w:top w:w="0" w:type="dxa"/>
              <w:left w:w="108" w:type="dxa"/>
              <w:bottom w:w="0" w:type="dxa"/>
              <w:right w:w="108" w:type="dxa"/>
            </w:tcMar>
          </w:tcPr>
          <w:p w14:paraId="3D8A9752" w14:textId="359372A8" w:rsidR="00C54598" w:rsidRPr="0058017E" w:rsidRDefault="00C54598" w:rsidP="00C54598">
            <w:pPr>
              <w:pStyle w:val="ListParagraph"/>
              <w:numPr>
                <w:ilvl w:val="0"/>
                <w:numId w:val="21"/>
              </w:numPr>
              <w:spacing w:after="120"/>
              <w:ind w:left="360"/>
            </w:pPr>
            <w:r w:rsidRPr="0058017E">
              <w:t>For Success Measures, I understand the substantive question deadline has passed. Could you confirm the administrative submission route: the current opportunity page directs applicants to Alchemer, while Amendment 0001 instructs email submission. Is Alchemer sufficient, or are both required?</w:t>
            </w:r>
          </w:p>
        </w:tc>
        <w:tc>
          <w:tcPr>
            <w:tcW w:w="4950" w:type="dxa"/>
            <w:tcMar>
              <w:top w:w="0" w:type="dxa"/>
              <w:left w:w="108" w:type="dxa"/>
              <w:bottom w:w="0" w:type="dxa"/>
              <w:right w:w="108" w:type="dxa"/>
            </w:tcMar>
          </w:tcPr>
          <w:p w14:paraId="08DBFF3B" w14:textId="6AF3EF5C" w:rsidR="00C54598" w:rsidRPr="0058017E" w:rsidRDefault="26B4CCF6" w:rsidP="00C54598">
            <w:r w:rsidRPr="0058017E">
              <w:rPr>
                <w:rFonts w:asciiTheme="minorHAnsi" w:hAnsiTheme="minorHAnsi" w:cstheme="minorBidi"/>
              </w:rPr>
              <w:t xml:space="preserve">This RFP is for </w:t>
            </w:r>
            <w:r w:rsidR="551F7173" w:rsidRPr="0058017E">
              <w:rPr>
                <w:rFonts w:asciiTheme="minorHAnsi" w:hAnsiTheme="minorHAnsi" w:cstheme="minorBidi"/>
              </w:rPr>
              <w:t>the Training</w:t>
            </w:r>
            <w:r w:rsidRPr="0058017E">
              <w:rPr>
                <w:rFonts w:asciiTheme="minorHAnsi" w:hAnsiTheme="minorHAnsi" w:cstheme="minorBidi"/>
              </w:rPr>
              <w:t xml:space="preserve"> Faculty. You are referring to a completely different RFP. For this RFP, the Alchemer survey is the only </w:t>
            </w:r>
            <w:r w:rsidR="05470F69" w:rsidRPr="0058017E">
              <w:rPr>
                <w:rFonts w:asciiTheme="minorHAnsi" w:hAnsiTheme="minorHAnsi" w:cstheme="minorBidi"/>
              </w:rPr>
              <w:t>submission needed.</w:t>
            </w:r>
          </w:p>
        </w:tc>
      </w:tr>
      <w:tr w:rsidR="00C54598" w:rsidRPr="0058017E" w14:paraId="39C90768" w14:textId="77777777" w:rsidTr="02AF4764">
        <w:tc>
          <w:tcPr>
            <w:tcW w:w="5212" w:type="dxa"/>
            <w:tcMar>
              <w:top w:w="0" w:type="dxa"/>
              <w:left w:w="108" w:type="dxa"/>
              <w:bottom w:w="0" w:type="dxa"/>
              <w:right w:w="108" w:type="dxa"/>
            </w:tcMar>
          </w:tcPr>
          <w:p w14:paraId="510B91F6" w14:textId="74A26F5E" w:rsidR="00C54598" w:rsidRPr="0058017E" w:rsidRDefault="00C54598" w:rsidP="00C54598">
            <w:pPr>
              <w:pStyle w:val="ListParagraph"/>
              <w:numPr>
                <w:ilvl w:val="0"/>
                <w:numId w:val="21"/>
              </w:numPr>
              <w:spacing w:after="120"/>
              <w:ind w:left="360"/>
            </w:pPr>
            <w:r w:rsidRPr="0058017E">
              <w:t>Is proof of applicable insurance required with either proposal, or before an awarded engagement begins?</w:t>
            </w:r>
          </w:p>
        </w:tc>
        <w:tc>
          <w:tcPr>
            <w:tcW w:w="4950" w:type="dxa"/>
            <w:tcMar>
              <w:top w:w="0" w:type="dxa"/>
              <w:left w:w="108" w:type="dxa"/>
              <w:bottom w:w="0" w:type="dxa"/>
              <w:right w:w="108" w:type="dxa"/>
            </w:tcMar>
          </w:tcPr>
          <w:p w14:paraId="43EB6D33" w14:textId="0825B19A" w:rsidR="00C54598" w:rsidRPr="0058017E" w:rsidRDefault="71572908" w:rsidP="00C54598">
            <w:r w:rsidRPr="0058017E">
              <w:rPr>
                <w:rFonts w:asciiTheme="minorHAnsi" w:hAnsiTheme="minorHAnsi" w:cstheme="minorBidi"/>
              </w:rPr>
              <w:t>Proof of insurance is not required during the solicitation process. However, it will be necessary for an award.</w:t>
            </w:r>
          </w:p>
        </w:tc>
      </w:tr>
      <w:tr w:rsidR="00C54598" w:rsidRPr="0058017E" w14:paraId="57CF9DBB" w14:textId="77777777" w:rsidTr="02AF4764">
        <w:tc>
          <w:tcPr>
            <w:tcW w:w="5212" w:type="dxa"/>
            <w:tcMar>
              <w:top w:w="0" w:type="dxa"/>
              <w:left w:w="108" w:type="dxa"/>
              <w:bottom w:w="0" w:type="dxa"/>
              <w:right w:w="108" w:type="dxa"/>
            </w:tcMar>
          </w:tcPr>
          <w:p w14:paraId="3F6423A4" w14:textId="4F7D9546" w:rsidR="00C54598" w:rsidRPr="0058017E" w:rsidRDefault="00C54598" w:rsidP="00C54598">
            <w:pPr>
              <w:pStyle w:val="ListParagraph"/>
              <w:numPr>
                <w:ilvl w:val="0"/>
                <w:numId w:val="21"/>
              </w:numPr>
              <w:spacing w:after="120"/>
              <w:ind w:left="360"/>
            </w:pPr>
            <w:r w:rsidRPr="0058017E">
              <w:t xml:space="preserve">Delivery platform: Can an approved Faculty Consultant deliver a course on the consultant’s own learning platform, or must all online delivery run in NeighborWorks’ Learning Management System? I have an existing course that includes group coaching, but it is delivered through a community platform that is already built. </w:t>
            </w:r>
          </w:p>
        </w:tc>
        <w:tc>
          <w:tcPr>
            <w:tcW w:w="4950" w:type="dxa"/>
            <w:tcMar>
              <w:top w:w="0" w:type="dxa"/>
              <w:left w:w="108" w:type="dxa"/>
              <w:bottom w:w="0" w:type="dxa"/>
              <w:right w:w="108" w:type="dxa"/>
            </w:tcMar>
          </w:tcPr>
          <w:p w14:paraId="7FB82E27" w14:textId="2DD60297" w:rsidR="00C54598" w:rsidRPr="0058017E" w:rsidRDefault="2BA15172" w:rsidP="00C54598">
            <w:r w:rsidRPr="0058017E">
              <w:rPr>
                <w:rFonts w:asciiTheme="minorHAnsi" w:hAnsiTheme="minorHAnsi" w:cstheme="minorBidi"/>
              </w:rPr>
              <w:t>All courses are delivered on systems that NeighborWorks uses.</w:t>
            </w:r>
          </w:p>
        </w:tc>
      </w:tr>
      <w:tr w:rsidR="00C54598" w:rsidRPr="0058017E" w14:paraId="72861AC5" w14:textId="77777777" w:rsidTr="02AF4764">
        <w:tc>
          <w:tcPr>
            <w:tcW w:w="5212" w:type="dxa"/>
            <w:tcMar>
              <w:top w:w="0" w:type="dxa"/>
              <w:left w:w="108" w:type="dxa"/>
              <w:bottom w:w="0" w:type="dxa"/>
              <w:right w:w="108" w:type="dxa"/>
            </w:tcMar>
          </w:tcPr>
          <w:p w14:paraId="24DE7506" w14:textId="1FD48EAD" w:rsidR="00C54598" w:rsidRPr="0058017E" w:rsidRDefault="00C54598" w:rsidP="00C54598">
            <w:pPr>
              <w:pStyle w:val="ListParagraph"/>
              <w:numPr>
                <w:ilvl w:val="0"/>
                <w:numId w:val="21"/>
              </w:numPr>
              <w:spacing w:after="120"/>
              <w:ind w:left="360"/>
            </w:pPr>
            <w:r w:rsidRPr="0058017E">
              <w:t>Cours</w:t>
            </w:r>
            <w:commentRangeStart w:id="15"/>
            <w:r w:rsidRPr="0058017E">
              <w:t>es outside the catalog: If a proposed course has no equivalent in the NeighborWorks Training Course Catalog, such as a federal grant writing or AI-for-grant-writers course, how should it be submitted? Does NeighborWorks a</w:t>
            </w:r>
            <w:commentRangeEnd w:id="15"/>
            <w:r w:rsidRPr="0058017E">
              <w:rPr>
                <w:rStyle w:val="CommentReference"/>
                <w:sz w:val="22"/>
                <w:szCs w:val="22"/>
              </w:rPr>
              <w:commentReference w:id="15"/>
            </w:r>
            <w:r w:rsidRPr="0058017E">
              <w:t>ccept such courses for group learning or regional delivery?</w:t>
            </w:r>
          </w:p>
        </w:tc>
        <w:tc>
          <w:tcPr>
            <w:tcW w:w="4950" w:type="dxa"/>
            <w:tcMar>
              <w:top w:w="0" w:type="dxa"/>
              <w:left w:w="108" w:type="dxa"/>
              <w:bottom w:w="0" w:type="dxa"/>
              <w:right w:w="108" w:type="dxa"/>
            </w:tcMar>
          </w:tcPr>
          <w:p w14:paraId="053C39E8" w14:textId="36273D41" w:rsidR="00C54598" w:rsidRPr="0058017E" w:rsidRDefault="17061D61" w:rsidP="02AF4764">
            <w:r w:rsidRPr="0058017E">
              <w:rPr>
                <w:rFonts w:ascii="Segoe UI" w:eastAsia="Segoe UI" w:hAnsi="Segoe UI" w:cs="Segoe UI"/>
                <w:color w:val="242424"/>
                <w:sz w:val="21"/>
                <w:szCs w:val="21"/>
              </w:rPr>
              <w:t>If a course covers similar or related topics to a NeighborWorks course, even if it is not strictly equivalent, that course can and should still be listed.</w:t>
            </w:r>
          </w:p>
        </w:tc>
      </w:tr>
      <w:tr w:rsidR="00C54598" w:rsidRPr="0058017E" w14:paraId="30B81DE9" w14:textId="77777777" w:rsidTr="02AF4764">
        <w:tc>
          <w:tcPr>
            <w:tcW w:w="5212" w:type="dxa"/>
            <w:tcMar>
              <w:top w:w="0" w:type="dxa"/>
              <w:left w:w="108" w:type="dxa"/>
              <w:bottom w:w="0" w:type="dxa"/>
              <w:right w:w="108" w:type="dxa"/>
            </w:tcMar>
          </w:tcPr>
          <w:p w14:paraId="2A4A2994" w14:textId="717C6471" w:rsidR="00C54598" w:rsidRPr="0058017E" w:rsidRDefault="00C54598" w:rsidP="02AF4764">
            <w:pPr>
              <w:pStyle w:val="ListParagraph"/>
              <w:numPr>
                <w:ilvl w:val="0"/>
                <w:numId w:val="21"/>
              </w:numPr>
              <w:spacing w:after="120"/>
              <w:ind w:left="360"/>
            </w:pPr>
            <w:r w:rsidRPr="0058017E">
              <w:t>As</w:t>
            </w:r>
            <w:commentRangeStart w:id="16"/>
            <w:r w:rsidRPr="0058017E">
              <w:t>signment process: Following selection into the consultant pool, how will individual course delivery, course development, and technical assistance assignments be allocated among qualified consultants? Will assignments be based primarily on subject matter expertise, availability, pricing, or another selection process?</w:t>
            </w:r>
            <w:commentRangeEnd w:id="16"/>
            <w:r w:rsidRPr="0058017E">
              <w:rPr>
                <w:rStyle w:val="CommentReference"/>
                <w:sz w:val="22"/>
                <w:szCs w:val="22"/>
              </w:rPr>
              <w:commentReference w:id="16"/>
            </w:r>
          </w:p>
        </w:tc>
        <w:tc>
          <w:tcPr>
            <w:tcW w:w="4950" w:type="dxa"/>
            <w:tcMar>
              <w:top w:w="0" w:type="dxa"/>
              <w:left w:w="108" w:type="dxa"/>
              <w:bottom w:w="0" w:type="dxa"/>
              <w:right w:w="108" w:type="dxa"/>
            </w:tcMar>
          </w:tcPr>
          <w:p w14:paraId="7A29CD5B" w14:textId="2438C037" w:rsidR="00C54598" w:rsidRPr="0058017E" w:rsidRDefault="4E257B58" w:rsidP="02AF4764">
            <w:r w:rsidRPr="0058017E">
              <w:rPr>
                <w:rFonts w:ascii="Segoe UI" w:eastAsia="Segoe UI" w:hAnsi="Segoe UI" w:cs="Segoe UI"/>
                <w:color w:val="242424"/>
                <w:sz w:val="21"/>
                <w:szCs w:val="21"/>
              </w:rPr>
              <w:t>Assignments are based on a combination of all of the considerations listed and can vary across projects.</w:t>
            </w:r>
          </w:p>
        </w:tc>
      </w:tr>
      <w:tr w:rsidR="00C54598" w:rsidRPr="0058017E" w14:paraId="2483EA58" w14:textId="77777777" w:rsidTr="02AF4764">
        <w:tc>
          <w:tcPr>
            <w:tcW w:w="5212" w:type="dxa"/>
            <w:tcMar>
              <w:top w:w="0" w:type="dxa"/>
              <w:left w:w="108" w:type="dxa"/>
              <w:bottom w:w="0" w:type="dxa"/>
              <w:right w:w="108" w:type="dxa"/>
            </w:tcMar>
          </w:tcPr>
          <w:p w14:paraId="45E86F43" w14:textId="3E554DA2" w:rsidR="00C54598" w:rsidRPr="0058017E" w:rsidRDefault="00C54598" w:rsidP="00C54598">
            <w:pPr>
              <w:pStyle w:val="ListParagraph"/>
              <w:numPr>
                <w:ilvl w:val="0"/>
                <w:numId w:val="21"/>
              </w:numPr>
              <w:spacing w:after="120"/>
              <w:ind w:left="360"/>
            </w:pPr>
            <w:r w:rsidRPr="0058017E">
              <w:t xml:space="preserve">Anticipated utilization: Is NeighborWorks able to share historical or anticipated assignment volume for consultants supporting the Nonprofit Management and Leadership and Community </w:t>
            </w:r>
            <w:r w:rsidRPr="0058017E">
              <w:lastRenderedPageBreak/>
              <w:t>Engagement technical tracks, including both training delivery and technical assistance?</w:t>
            </w:r>
          </w:p>
        </w:tc>
        <w:tc>
          <w:tcPr>
            <w:tcW w:w="4950" w:type="dxa"/>
            <w:tcMar>
              <w:top w:w="0" w:type="dxa"/>
              <w:left w:w="108" w:type="dxa"/>
              <w:bottom w:w="0" w:type="dxa"/>
              <w:right w:w="108" w:type="dxa"/>
            </w:tcMar>
          </w:tcPr>
          <w:p w14:paraId="010128B9" w14:textId="2072D1FF" w:rsidR="00C54598" w:rsidRPr="0058017E" w:rsidRDefault="3D58F145" w:rsidP="00C54598">
            <w:r w:rsidRPr="0058017E">
              <w:rPr>
                <w:rFonts w:asciiTheme="minorHAnsi" w:hAnsiTheme="minorHAnsi" w:cstheme="minorBidi"/>
              </w:rPr>
              <w:lastRenderedPageBreak/>
              <w:t>NeighborWorks America is not able to share this information at this time.</w:t>
            </w:r>
          </w:p>
        </w:tc>
      </w:tr>
      <w:tr w:rsidR="00C54598" w:rsidRPr="008539D0" w14:paraId="29B683C3" w14:textId="77777777" w:rsidTr="02AF4764">
        <w:tc>
          <w:tcPr>
            <w:tcW w:w="5212" w:type="dxa"/>
            <w:tcMar>
              <w:top w:w="0" w:type="dxa"/>
              <w:left w:w="108" w:type="dxa"/>
              <w:bottom w:w="0" w:type="dxa"/>
              <w:right w:w="108" w:type="dxa"/>
            </w:tcMar>
          </w:tcPr>
          <w:p w14:paraId="3EBCBB4C" w14:textId="4F3C70DA" w:rsidR="00C54598" w:rsidRPr="0058017E" w:rsidRDefault="00C54598" w:rsidP="00C54598">
            <w:pPr>
              <w:pStyle w:val="ListParagraph"/>
              <w:numPr>
                <w:ilvl w:val="0"/>
                <w:numId w:val="21"/>
              </w:numPr>
              <w:spacing w:after="120"/>
              <w:ind w:left="360"/>
            </w:pPr>
            <w:r w:rsidRPr="0058017E">
              <w:t>Daily-rate structure: Should applicants propose one daily rate per contract year that applies across course delivery, preparation, travel time, course development, and technical assistance, or may different rates be proposed for different service categories? Additionally, how are eligible travel-time days determined under Attachment B?</w:t>
            </w:r>
          </w:p>
        </w:tc>
        <w:tc>
          <w:tcPr>
            <w:tcW w:w="4950" w:type="dxa"/>
            <w:tcMar>
              <w:top w:w="0" w:type="dxa"/>
              <w:left w:w="108" w:type="dxa"/>
              <w:bottom w:w="0" w:type="dxa"/>
              <w:right w:w="108" w:type="dxa"/>
            </w:tcMar>
          </w:tcPr>
          <w:p w14:paraId="3346EEEA" w14:textId="593AECD0" w:rsidR="00C54598" w:rsidRPr="0058017E" w:rsidRDefault="59DCF79E" w:rsidP="00C54598">
            <w:r w:rsidRPr="0058017E">
              <w:rPr>
                <w:rFonts w:asciiTheme="minorHAnsi" w:hAnsiTheme="minorHAnsi" w:cstheme="minorBidi"/>
              </w:rPr>
              <w:t>Regarding daily rate, see Q17.</w:t>
            </w:r>
          </w:p>
          <w:p w14:paraId="7CDB08FE" w14:textId="477B99E2" w:rsidR="00C54598" w:rsidRPr="008539D0" w:rsidRDefault="4BC203BA" w:rsidP="00C54598">
            <w:r w:rsidRPr="0058017E">
              <w:rPr>
                <w:rFonts w:asciiTheme="minorHAnsi" w:hAnsiTheme="minorHAnsi" w:cstheme="minorBidi"/>
              </w:rPr>
              <w:t>Regarding the billable, see Q31</w:t>
            </w:r>
          </w:p>
          <w:p w14:paraId="5E878759" w14:textId="37647A4D" w:rsidR="00C54598" w:rsidRPr="008539D0" w:rsidRDefault="00C54598" w:rsidP="02AF4764">
            <w:pPr>
              <w:rPr>
                <w:rFonts w:asciiTheme="minorHAnsi" w:hAnsiTheme="minorHAnsi" w:cstheme="minorBidi"/>
              </w:rPr>
            </w:pPr>
          </w:p>
          <w:p w14:paraId="696A2FBE" w14:textId="679C5A43" w:rsidR="00C54598" w:rsidRPr="008539D0" w:rsidRDefault="00C54598" w:rsidP="02AF4764">
            <w:pPr>
              <w:rPr>
                <w:rFonts w:asciiTheme="minorHAnsi" w:hAnsiTheme="minorHAnsi" w:cstheme="minorBidi"/>
              </w:rPr>
            </w:pPr>
          </w:p>
        </w:tc>
      </w:tr>
    </w:tbl>
    <w:p w14:paraId="28877B4B" w14:textId="262D1C30" w:rsidR="00EC71A1" w:rsidRPr="00EF1DD7" w:rsidRDefault="00EC71A1" w:rsidP="003608B1">
      <w:pPr>
        <w:rPr>
          <w:rFonts w:asciiTheme="minorHAnsi" w:eastAsia="Times New Roman" w:hAnsiTheme="minorHAnsi" w:cstheme="minorHAnsi"/>
        </w:rPr>
      </w:pPr>
    </w:p>
    <w:sectPr w:rsidR="00EC71A1" w:rsidRPr="00EF1DD7" w:rsidSect="00422B9F">
      <w:headerReference w:type="default" r:id="rId16"/>
      <w:footerReference w:type="default" r:id="rId17"/>
      <w:pgSz w:w="12240" w:h="15840"/>
      <w:pgMar w:top="1440" w:right="1008" w:bottom="1008" w:left="1008" w:header="1008" w:footer="10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ui Min" w:date="2026-10-27T07:57:00Z" w:initials="HM">
    <w:p w14:paraId="035FEB45" w14:textId="4094FFAD" w:rsidR="00AC7459" w:rsidRDefault="00AC7459">
      <w:pPr>
        <w:pStyle w:val="CommentText"/>
      </w:pPr>
      <w:r>
        <w:rPr>
          <w:rStyle w:val="CommentReference"/>
        </w:rPr>
        <w:annotationRef/>
      </w:r>
      <w:r w:rsidRPr="407C9465">
        <w:t>I will highlight all program questions in green for the program team to answer.</w:t>
      </w:r>
    </w:p>
  </w:comment>
  <w:comment w:id="1" w:author="Hui Min" w:date="2026-10-28T12:58:00Z" w:initials="HM">
    <w:p w14:paraId="134CF256" w14:textId="38866A9F" w:rsidR="00AC7459" w:rsidRDefault="00AC7459">
      <w:pPr>
        <w:pStyle w:val="CommentText"/>
      </w:pPr>
      <w:r>
        <w:rPr>
          <w:rStyle w:val="CommentReference"/>
        </w:rPr>
        <w:annotationRef/>
      </w:r>
      <w:r>
        <w:fldChar w:fldCharType="begin"/>
      </w:r>
      <w:r>
        <w:instrText xml:space="preserve"> HYPERLINK "mailto:GJean@nw.org"</w:instrText>
      </w:r>
      <w:bookmarkStart w:id="2" w:name="_@_143208545C094EFC9E6FF498D46CCF2AZ"/>
      <w:r>
        <w:fldChar w:fldCharType="separate"/>
      </w:r>
      <w:bookmarkEnd w:id="2"/>
      <w:r w:rsidRPr="15862AF8">
        <w:rPr>
          <w:noProof/>
        </w:rPr>
        <w:t>@Gena Jean</w:t>
      </w:r>
      <w:r>
        <w:fldChar w:fldCharType="end"/>
      </w:r>
      <w:r w:rsidRPr="313512F5">
        <w:t>, please refine the answer for #6</w:t>
      </w:r>
    </w:p>
    <w:p w14:paraId="12B383A2" w14:textId="6573F937" w:rsidR="00AC7459" w:rsidRDefault="00AC7459">
      <w:pPr>
        <w:pStyle w:val="CommentText"/>
      </w:pPr>
    </w:p>
  </w:comment>
  <w:comment w:id="3" w:author="Tiera Day" w:date="2026-11-02T11:51:00Z" w:initials="TD">
    <w:p w14:paraId="5B0A7BB0" w14:textId="25A65B3A" w:rsidR="00AC7459" w:rsidRDefault="00AC7459">
      <w:pPr>
        <w:pStyle w:val="CommentText"/>
      </w:pPr>
      <w:r>
        <w:rPr>
          <w:rStyle w:val="CommentReference"/>
        </w:rPr>
        <w:annotationRef/>
      </w:r>
      <w:r w:rsidRPr="24A3E140">
        <w:t>Kate stated "I have to defer to the business unit on this. I don’t have a legal objection. But I don’t know about the tech systems implications."  Can someone from the BU please confirm whether this is allowed.</w:t>
      </w:r>
    </w:p>
  </w:comment>
  <w:comment w:id="4" w:author="Tiera Day" w:date="2026-11-02T12:09:00Z" w:initials="TD">
    <w:p w14:paraId="6AF60F08" w14:textId="564C56BE" w:rsidR="00AC7459" w:rsidRDefault="00AC7459">
      <w:pPr>
        <w:pStyle w:val="CommentText"/>
      </w:pPr>
      <w:r>
        <w:rPr>
          <w:rStyle w:val="CommentReference"/>
        </w:rPr>
        <w:annotationRef/>
      </w:r>
      <w:r w:rsidRPr="2C4E0A06">
        <w:t>My suggested answer: "Canada-based instructors may be eligible for virtual teaching assignments, provided their business is based in the United States and meets applicable vendor requirements. There is no legal restriction on engaging instructors who reside outside the U.S. However, travel from another country to the U.S. would not be covered.</w:t>
      </w:r>
    </w:p>
    <w:p w14:paraId="00CE8932" w14:textId="7706EE2F" w:rsidR="00AC7459" w:rsidRDefault="00AC7459">
      <w:pPr>
        <w:pStyle w:val="CommentText"/>
      </w:pPr>
    </w:p>
    <w:p w14:paraId="2083A33B" w14:textId="28B21CFF" w:rsidR="00AC7459" w:rsidRDefault="00AC7459">
      <w:pPr>
        <w:pStyle w:val="CommentText"/>
      </w:pPr>
      <w:r w:rsidRPr="5BEE3A35">
        <w:t>Details regarding the platforms used for online instruction will be provided based on the specific assignment requirements."</w:t>
      </w:r>
    </w:p>
  </w:comment>
  <w:comment w:id="5" w:author="Tiera Day" w:date="2026-10-29T14:34:00Z" w:initials="TD">
    <w:p w14:paraId="5D5CE6A8" w14:textId="49D82A02" w:rsidR="00AC7459" w:rsidRDefault="00AC7459">
      <w:pPr>
        <w:pStyle w:val="CommentText"/>
      </w:pPr>
      <w:r>
        <w:rPr>
          <w:rStyle w:val="CommentReference"/>
        </w:rPr>
        <w:annotationRef/>
      </w:r>
      <w:r w:rsidRPr="6DE1BC26">
        <w:t>For Finanace to answer.</w:t>
      </w:r>
    </w:p>
  </w:comment>
  <w:comment w:id="6" w:author="Tiera Day" w:date="2026-10-29T14:40:00Z" w:initials="TD">
    <w:p w14:paraId="3916B753" w14:textId="1CEFA0B7" w:rsidR="00AC7459" w:rsidRDefault="00AC7459">
      <w:pPr>
        <w:pStyle w:val="CommentText"/>
      </w:pPr>
      <w:r>
        <w:rPr>
          <w:rStyle w:val="CommentReference"/>
        </w:rPr>
        <w:annotationRef/>
      </w:r>
      <w:r w:rsidRPr="6D3C6D4B">
        <w:t>This is a question that program can answer. Would you prefer the daily rate by by consultant or by service? My assumption is by consultant but I would like to make sure.</w:t>
      </w:r>
    </w:p>
  </w:comment>
  <w:comment w:id="7" w:author="Brenna Cooley" w:date="2026-10-29T13:29:00Z" w:initials="BC">
    <w:p w14:paraId="224C8447" w14:textId="33A9BB3C" w:rsidR="00AC7459" w:rsidRDefault="00AC7459">
      <w:pPr>
        <w:pStyle w:val="CommentText"/>
      </w:pPr>
      <w:r>
        <w:rPr>
          <w:rStyle w:val="CommentReference"/>
        </w:rPr>
        <w:annotationRef/>
      </w:r>
      <w:r w:rsidRPr="1AE99B49">
        <w:t>Proposed reply: Faculty are expected to have experience within their identified areas of expertise, not necessarily across the field as a whole.</w:t>
      </w:r>
    </w:p>
  </w:comment>
  <w:comment w:id="8" w:author="Tiera Day" w:date="2026-10-27T10:42:00Z" w:initials="TD">
    <w:p w14:paraId="2E64C8B3" w14:textId="2C3FEA5C" w:rsidR="00AC7459" w:rsidRDefault="00AC7459">
      <w:pPr>
        <w:pStyle w:val="CommentText"/>
      </w:pPr>
      <w:r>
        <w:rPr>
          <w:rStyle w:val="CommentReference"/>
        </w:rPr>
        <w:annotationRef/>
      </w:r>
      <w:r w:rsidRPr="3CF7231D">
        <w:t>There should not any reference to annual totals in the attachments.</w:t>
      </w:r>
    </w:p>
  </w:comment>
  <w:comment w:id="9" w:author="Hui Min" w:date="2026-10-29T10:55:00Z" w:initials="HM">
    <w:p w14:paraId="6CBFCF68" w14:textId="3A852ECC" w:rsidR="00AC7459" w:rsidRDefault="00AC7459">
      <w:pPr>
        <w:pStyle w:val="CommentText"/>
      </w:pPr>
      <w:r>
        <w:rPr>
          <w:rStyle w:val="CommentReference"/>
        </w:rPr>
        <w:annotationRef/>
      </w:r>
      <w:r>
        <w:fldChar w:fldCharType="begin"/>
      </w:r>
      <w:r>
        <w:instrText xml:space="preserve"> HYPERLINK "mailto:BCooley@nw.org"</w:instrText>
      </w:r>
      <w:bookmarkStart w:id="10" w:name="_@_100E228EB5BE4D5EBF5D04A1A18AB200Z"/>
      <w:r>
        <w:fldChar w:fldCharType="separate"/>
      </w:r>
      <w:bookmarkEnd w:id="10"/>
      <w:r w:rsidRPr="7A8B15E3">
        <w:rPr>
          <w:noProof/>
        </w:rPr>
        <w:t>@Brenna Cooley</w:t>
      </w:r>
      <w:r>
        <w:fldChar w:fldCharType="end"/>
      </w:r>
      <w:r w:rsidRPr="7C842CDF">
        <w:t>, please decide on 26 &amp; 27 and respond directly in the document.  Thanks</w:t>
      </w:r>
    </w:p>
  </w:comment>
  <w:comment w:id="11" w:author="Hui Min" w:date="2026-10-29T10:56:00Z" w:initials="HM">
    <w:p w14:paraId="4ACC6ECC" w14:textId="40CF72FA" w:rsidR="00AC7459" w:rsidRDefault="00AC7459">
      <w:pPr>
        <w:pStyle w:val="CommentText"/>
      </w:pPr>
      <w:r>
        <w:rPr>
          <w:rStyle w:val="CommentReference"/>
        </w:rPr>
        <w:annotationRef/>
      </w:r>
      <w:r>
        <w:fldChar w:fldCharType="begin"/>
      </w:r>
      <w:r>
        <w:instrText xml:space="preserve"> HYPERLINK "mailto:BCooley@nw.org"</w:instrText>
      </w:r>
      <w:bookmarkStart w:id="12" w:name="_@_9DBEC9DD96DB47F8B5513953EF66D82DZ"/>
      <w:r>
        <w:fldChar w:fldCharType="separate"/>
      </w:r>
      <w:bookmarkEnd w:id="12"/>
      <w:r w:rsidRPr="1F9FA3FF">
        <w:rPr>
          <w:noProof/>
        </w:rPr>
        <w:t>@Brenna Cooley</w:t>
      </w:r>
      <w:r>
        <w:fldChar w:fldCharType="end"/>
      </w:r>
      <w:r w:rsidRPr="64ACE533">
        <w:t xml:space="preserve"> could you answer 31 and 32 based on how we currently pay our faculty?  </w:t>
      </w:r>
    </w:p>
  </w:comment>
  <w:comment w:id="13" w:author="Brenna Cooley" w:date="2026-10-29T13:27:00Z" w:initials="BC">
    <w:p w14:paraId="6E20F7E0" w14:textId="22E09155" w:rsidR="00AC7459" w:rsidRDefault="00AC7459">
      <w:pPr>
        <w:pStyle w:val="CommentText"/>
      </w:pPr>
      <w:r>
        <w:rPr>
          <w:rStyle w:val="CommentReference"/>
        </w:rPr>
        <w:annotationRef/>
      </w:r>
      <w:r w:rsidRPr="75F2F841">
        <w:t>Proposed reply: The vast majority of work for faculty consultants revolves around either course delivery or development and it is unlikely we would engage with a consultant that did not provide either of those two services.</w:t>
      </w:r>
    </w:p>
  </w:comment>
  <w:comment w:id="14" w:author="Brenna Cooley" w:date="2026-10-29T13:25:00Z" w:initials="BC">
    <w:p w14:paraId="734DDDCF" w14:textId="367C1142" w:rsidR="00AC7459" w:rsidRDefault="00AC7459">
      <w:pPr>
        <w:pStyle w:val="CommentText"/>
      </w:pPr>
      <w:r>
        <w:rPr>
          <w:rStyle w:val="CommentReference"/>
        </w:rPr>
        <w:annotationRef/>
      </w:r>
      <w:r w:rsidRPr="6BB837EA">
        <w:t>Proposed reply: Faculty are neither obligated to accept work assignments, nor are they guaranteed work assignments, and can communicate with NeighborWorks staff around preferences and availability</w:t>
      </w:r>
    </w:p>
  </w:comment>
  <w:comment w:id="15" w:author="Brenna Cooley" w:date="2026-10-29T13:23:00Z" w:initials="BC">
    <w:p w14:paraId="6AB2846F" w14:textId="35AC6CD8" w:rsidR="00AC7459" w:rsidRDefault="00AC7459">
      <w:pPr>
        <w:pStyle w:val="CommentText"/>
      </w:pPr>
      <w:r>
        <w:rPr>
          <w:rStyle w:val="CommentReference"/>
        </w:rPr>
        <w:annotationRef/>
      </w:r>
      <w:r w:rsidRPr="1509D0C1">
        <w:t>Proposed reply: If a course covers similar or related topics to a NeighborWorks course, even if it is not strictly equivalent, that course can and should still be listed </w:t>
      </w:r>
    </w:p>
  </w:comment>
  <w:comment w:id="16" w:author="Brenna Cooley" w:date="2026-10-29T13:23:00Z" w:initials="BC">
    <w:p w14:paraId="6F58CBDB" w14:textId="78FF41FF" w:rsidR="00AC7459" w:rsidRDefault="00AC7459">
      <w:pPr>
        <w:pStyle w:val="CommentText"/>
      </w:pPr>
      <w:r>
        <w:rPr>
          <w:rStyle w:val="CommentReference"/>
        </w:rPr>
        <w:annotationRef/>
      </w:r>
      <w:r w:rsidRPr="6F6E7AC0">
        <w:t>Proposed reply: Assignments are based on a combination of all of the considerations listed and can vary across projects.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5FEB45" w15:done="1"/>
  <w15:commentEx w15:paraId="12B383A2" w15:done="1"/>
  <w15:commentEx w15:paraId="5B0A7BB0" w15:done="1"/>
  <w15:commentEx w15:paraId="2083A33B" w15:paraIdParent="5B0A7BB0" w15:done="1"/>
  <w15:commentEx w15:paraId="5D5CE6A8" w15:done="1"/>
  <w15:commentEx w15:paraId="3916B753" w15:done="1"/>
  <w15:commentEx w15:paraId="224C8447" w15:done="1"/>
  <w15:commentEx w15:paraId="2E64C8B3" w15:done="1"/>
  <w15:commentEx w15:paraId="6CBFCF68" w15:done="1"/>
  <w15:commentEx w15:paraId="4ACC6ECC" w15:done="1"/>
  <w15:commentEx w15:paraId="6E20F7E0" w15:done="1"/>
  <w15:commentEx w15:paraId="734DDDCF" w15:done="1"/>
  <w15:commentEx w15:paraId="6AB2846F" w15:done="1"/>
  <w15:commentEx w15:paraId="6F58CBD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B1D6A2" w16cex:dateUtc="2026-10-27T14:57:00Z"/>
  <w16cex:commentExtensible w16cex:durableId="6FD72740" w16cex:dateUtc="2026-10-28T19:58:00Z">
    <w16cex:extLst>
      <w16:ext w16:uri="{CE6994B0-6A32-4C9F-8C6B-6E91EDA988CE}">
        <cr:reactions xmlns:cr="http://schemas.microsoft.com/office/comments/2020/reactions">
          <cr:reaction reactionType="1">
            <cr:reactionInfo dateUtc="2026-10-29T20:02:43Z">
              <cr:user userId="S::gjean@nw.org::a85014f1-375d-4d21-940c-0c5d58b4c1df" userProvider="AD" userName="Gena Jean"/>
            </cr:reactionInfo>
          </cr:reaction>
        </cr:reactions>
      </w16:ext>
    </w16cex:extLst>
  </w16cex:commentExtensible>
  <w16cex:commentExtensible w16cex:durableId="588DA138" w16cex:dateUtc="2026-11-02T16:51:00Z"/>
  <w16cex:commentExtensible w16cex:durableId="2A7B2B60" w16cex:dateUtc="2026-11-02T17:09:00Z"/>
  <w16cex:commentExtensible w16cex:durableId="35CAEA79" w16cex:dateUtc="2026-10-29T18:34:00Z"/>
  <w16cex:commentExtensible w16cex:durableId="2A189125" w16cex:dateUtc="2026-10-29T18:40:00Z"/>
  <w16cex:commentExtensible w16cex:durableId="0C9778BC" w16cex:dateUtc="2026-10-29T17:29:00Z">
    <w16cex:extLst>
      <w16:ext w16:uri="{CE6994B0-6A32-4C9F-8C6B-6E91EDA988CE}">
        <cr:reactions xmlns:cr="http://schemas.microsoft.com/office/comments/2020/reactions">
          <cr:reaction reactionType="1">
            <cr:reactionInfo dateUtc="2026-10-29T17:48:35Z">
              <cr:user userId="S::hmin@nw.org::4c33cfcc-59dd-4d85-8924-85dd87ea7685" userProvider="AD" userName="Hui Min"/>
            </cr:reactionInfo>
          </cr:reaction>
        </cr:reactions>
      </w16:ext>
    </w16cex:extLst>
  </w16cex:commentExtensible>
  <w16cex:commentExtensible w16cex:durableId="191627AA" w16cex:dateUtc="2026-10-27T14:42:00Z"/>
  <w16cex:commentExtensible w16cex:durableId="34B9AF0A" w16cex:dateUtc="2026-10-29T17:55:00Z"/>
  <w16cex:commentExtensible w16cex:durableId="4B2E55E0" w16cex:dateUtc="2026-10-29T17:56:00Z"/>
  <w16cex:commentExtensible w16cex:durableId="04FC4BE7" w16cex:dateUtc="2026-10-29T17:27:00Z">
    <w16cex:extLst>
      <w16:ext w16:uri="{CE6994B0-6A32-4C9F-8C6B-6E91EDA988CE}">
        <cr:reactions xmlns:cr="http://schemas.microsoft.com/office/comments/2020/reactions">
          <cr:reaction reactionType="1">
            <cr:reactionInfo dateUtc="2026-10-30T13:47:08Z">
              <cr:user userId="S::hmin@nw.org::4c33cfcc-59dd-4d85-8924-85dd87ea7685" userProvider="AD" userName="Hui Min"/>
            </cr:reactionInfo>
          </cr:reaction>
        </cr:reactions>
      </w16:ext>
    </w16cex:extLst>
  </w16cex:commentExtensible>
  <w16cex:commentExtensible w16cex:durableId="5CE46BDD" w16cex:dateUtc="2026-10-29T17:25:00Z">
    <w16cex:extLst>
      <w16:ext w16:uri="{CE6994B0-6A32-4C9F-8C6B-6E91EDA988CE}">
        <cr:reactions xmlns:cr="http://schemas.microsoft.com/office/comments/2020/reactions">
          <cr:reaction reactionType="1">
            <cr:reactionInfo dateUtc="2026-10-29T17:59:01Z">
              <cr:user userId="S::hmin@nw.org::4c33cfcc-59dd-4d85-8924-85dd87ea7685" userProvider="AD" userName="Hui Min"/>
            </cr:reactionInfo>
          </cr:reaction>
        </cr:reactions>
      </w16:ext>
    </w16cex:extLst>
  </w16cex:commentExtensible>
  <w16cex:commentExtensible w16cex:durableId="0C605836" w16cex:dateUtc="2026-10-29T17:23:00Z">
    <w16cex:extLst>
      <w16:ext w16:uri="{CE6994B0-6A32-4C9F-8C6B-6E91EDA988CE}">
        <cr:reactions xmlns:cr="http://schemas.microsoft.com/office/comments/2020/reactions">
          <cr:reaction reactionType="1">
            <cr:reactionInfo dateUtc="2026-10-29T17:59:37Z">
              <cr:user userId="S::hmin@nw.org::4c33cfcc-59dd-4d85-8924-85dd87ea7685" userProvider="AD" userName="Hui Min"/>
            </cr:reactionInfo>
          </cr:reaction>
        </cr:reactions>
      </w16:ext>
    </w16cex:extLst>
  </w16cex:commentExtensible>
  <w16cex:commentExtensible w16cex:durableId="0ACB5DD1" w16cex:dateUtc="2026-10-29T17:23:00Z">
    <w16cex:extLst>
      <w16:ext w16:uri="{CE6994B0-6A32-4C9F-8C6B-6E91EDA988CE}">
        <cr:reactions xmlns:cr="http://schemas.microsoft.com/office/comments/2020/reactions">
          <cr:reaction reactionType="1">
            <cr:reactionInfo dateUtc="2026-10-29T17:59:54Z">
              <cr:user userId="S::hmin@nw.org::4c33cfcc-59dd-4d85-8924-85dd87ea7685" userProvider="AD" userName="Hui Mi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5FEB45" w16cid:durableId="3AB1D6A2"/>
  <w16cid:commentId w16cid:paraId="12B383A2" w16cid:durableId="6FD72740"/>
  <w16cid:commentId w16cid:paraId="5B0A7BB0" w16cid:durableId="588DA138"/>
  <w16cid:commentId w16cid:paraId="2083A33B" w16cid:durableId="2A7B2B60"/>
  <w16cid:commentId w16cid:paraId="5D5CE6A8" w16cid:durableId="35CAEA79"/>
  <w16cid:commentId w16cid:paraId="3916B753" w16cid:durableId="2A189125"/>
  <w16cid:commentId w16cid:paraId="224C8447" w16cid:durableId="0C9778BC"/>
  <w16cid:commentId w16cid:paraId="2E64C8B3" w16cid:durableId="191627AA"/>
  <w16cid:commentId w16cid:paraId="6CBFCF68" w16cid:durableId="34B9AF0A"/>
  <w16cid:commentId w16cid:paraId="4ACC6ECC" w16cid:durableId="4B2E55E0"/>
  <w16cid:commentId w16cid:paraId="6E20F7E0" w16cid:durableId="04FC4BE7"/>
  <w16cid:commentId w16cid:paraId="734DDDCF" w16cid:durableId="5CE46BDD"/>
  <w16cid:commentId w16cid:paraId="6AB2846F" w16cid:durableId="0C605836"/>
  <w16cid:commentId w16cid:paraId="6F58CBDB" w16cid:durableId="0ACB5D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ED22A" w14:textId="77777777" w:rsidR="00AC7459" w:rsidRDefault="00AC7459">
      <w:r>
        <w:separator/>
      </w:r>
    </w:p>
  </w:endnote>
  <w:endnote w:type="continuationSeparator" w:id="0">
    <w:p w14:paraId="17D46887" w14:textId="77777777" w:rsidR="00AC7459" w:rsidRDefault="00AC7459">
      <w:r>
        <w:continuationSeparator/>
      </w:r>
    </w:p>
  </w:endnote>
  <w:endnote w:type="continuationNotice" w:id="1">
    <w:p w14:paraId="76C26BF4" w14:textId="77777777" w:rsidR="00AC7459" w:rsidRDefault="00AC7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57F8" w14:textId="77777777" w:rsidR="004E17B7" w:rsidRDefault="00AD11A8">
    <w:pPr>
      <w:pBdr>
        <w:top w:val="single" w:sz="4" w:space="1" w:color="000000"/>
        <w:left w:val="nil"/>
        <w:bottom w:val="nil"/>
        <w:right w:val="nil"/>
        <w:between w:val="nil"/>
      </w:pBdr>
      <w:tabs>
        <w:tab w:val="center" w:pos="4680"/>
        <w:tab w:val="right" w:pos="9360"/>
      </w:tabs>
      <w:jc w:val="center"/>
      <w:rPr>
        <w:color w:val="000000"/>
        <w:sz w:val="20"/>
        <w:szCs w:val="20"/>
      </w:rPr>
    </w:pP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3C1229">
      <w:rPr>
        <w:b/>
        <w:noProof/>
        <w:color w:val="000000"/>
        <w:sz w:val="20"/>
        <w:szCs w:val="20"/>
      </w:rPr>
      <w:t>1</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3C1229">
      <w:rPr>
        <w:b/>
        <w:noProof/>
        <w:color w:val="000000"/>
        <w:sz w:val="20"/>
        <w:szCs w:val="20"/>
      </w:rPr>
      <w:t>2</w:t>
    </w:r>
    <w:r>
      <w:rPr>
        <w:b/>
        <w:color w:val="000000"/>
        <w:sz w:val="20"/>
        <w:szCs w:val="20"/>
      </w:rPr>
      <w:fldChar w:fldCharType="end"/>
    </w:r>
  </w:p>
  <w:p w14:paraId="64BCAB38" w14:textId="77777777" w:rsidR="004E17B7" w:rsidRDefault="004E17B7">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B3D73" w14:textId="77777777" w:rsidR="00AC7459" w:rsidRDefault="00AC7459">
      <w:r>
        <w:separator/>
      </w:r>
    </w:p>
  </w:footnote>
  <w:footnote w:type="continuationSeparator" w:id="0">
    <w:p w14:paraId="69F67B3D" w14:textId="77777777" w:rsidR="00AC7459" w:rsidRDefault="00AC7459">
      <w:r>
        <w:continuationSeparator/>
      </w:r>
    </w:p>
  </w:footnote>
  <w:footnote w:type="continuationNotice" w:id="1">
    <w:p w14:paraId="2AD0B419" w14:textId="77777777" w:rsidR="00AC7459" w:rsidRDefault="00AC74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64AD" w14:textId="7F1C743A" w:rsidR="004E17B7" w:rsidRDefault="00AD11A8" w:rsidP="00D4186B">
    <w:pPr>
      <w:pBdr>
        <w:top w:val="nil"/>
        <w:left w:val="nil"/>
        <w:bottom w:val="single" w:sz="4" w:space="1" w:color="auto"/>
        <w:right w:val="nil"/>
        <w:between w:val="nil"/>
      </w:pBdr>
      <w:tabs>
        <w:tab w:val="center" w:pos="4680"/>
        <w:tab w:val="right" w:pos="9360"/>
      </w:tabs>
      <w:spacing w:after="240"/>
      <w:rPr>
        <w:color w:val="000000"/>
      </w:rPr>
    </w:pPr>
    <w:r>
      <w:rPr>
        <w:noProof/>
        <w:color w:val="000000"/>
      </w:rPr>
      <w:drawing>
        <wp:inline distT="0" distB="0" distL="0" distR="0" wp14:anchorId="79E76F85" wp14:editId="3EAE3156">
          <wp:extent cx="1216152" cy="493776"/>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6152" cy="493776"/>
                  </a:xfrm>
                  <a:prstGeom prst="rect">
                    <a:avLst/>
                  </a:prstGeom>
                  <a:ln/>
                </pic:spPr>
              </pic:pic>
            </a:graphicData>
          </a:graphic>
        </wp:inline>
      </w:drawing>
    </w:r>
    <w:r>
      <w:rPr>
        <w:color w:val="000000"/>
      </w:rPr>
      <w:tab/>
    </w:r>
    <w:r>
      <w:rPr>
        <w:b/>
        <w:color w:val="000000"/>
      </w:rPr>
      <w:t>Request for Proposal, Offer and Acceptance of Award</w:t>
    </w:r>
    <w:r>
      <w:rPr>
        <w:b/>
        <w:color w:val="000000"/>
      </w:rPr>
      <w:tab/>
    </w:r>
    <w:r w:rsidR="002958A3">
      <w:rPr>
        <w:b/>
        <w:color w:val="000000"/>
      </w:rPr>
      <w:t>RFP-2</w:t>
    </w:r>
    <w:r w:rsidR="001E5DF8">
      <w:rPr>
        <w:b/>
        <w:color w:val="000000"/>
      </w:rPr>
      <w:t>7</w:t>
    </w:r>
    <w:r w:rsidR="002958A3">
      <w:rPr>
        <w:b/>
        <w:color w:val="000000"/>
      </w:rPr>
      <w:t>-00</w:t>
    </w:r>
    <w:r w:rsidR="001E5DF8">
      <w:rPr>
        <w:b/>
        <w:color w:val="000000"/>
      </w:rPr>
      <w:t>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9E2"/>
    <w:multiLevelType w:val="hybridMultilevel"/>
    <w:tmpl w:val="38568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630ED"/>
    <w:multiLevelType w:val="hybridMultilevel"/>
    <w:tmpl w:val="FAC61618"/>
    <w:lvl w:ilvl="0" w:tplc="75603F70">
      <w:start w:val="1"/>
      <w:numFmt w:val="lowerLetter"/>
      <w:lvlText w:val="%1."/>
      <w:lvlJc w:val="left"/>
      <w:pPr>
        <w:ind w:left="1635" w:hanging="12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261E2"/>
    <w:multiLevelType w:val="hybridMultilevel"/>
    <w:tmpl w:val="CB728D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45D92"/>
    <w:multiLevelType w:val="hybridMultilevel"/>
    <w:tmpl w:val="0B1C8E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26C6D"/>
    <w:multiLevelType w:val="hybridMultilevel"/>
    <w:tmpl w:val="ADAC3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47D82"/>
    <w:multiLevelType w:val="hybridMultilevel"/>
    <w:tmpl w:val="8F761F40"/>
    <w:lvl w:ilvl="0" w:tplc="0409000F">
      <w:start w:val="1"/>
      <w:numFmt w:val="decimal"/>
      <w:lvlText w:val="%1."/>
      <w:lvlJc w:val="left"/>
      <w:pPr>
        <w:ind w:left="720" w:hanging="360"/>
      </w:pPr>
    </w:lvl>
    <w:lvl w:ilvl="1" w:tplc="374E0910">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57722C1E">
      <w:start w:val="1"/>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71248"/>
    <w:multiLevelType w:val="hybridMultilevel"/>
    <w:tmpl w:val="40C6575E"/>
    <w:lvl w:ilvl="0" w:tplc="30A0C28E">
      <w:start w:val="11"/>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C6BAC"/>
    <w:multiLevelType w:val="hybridMultilevel"/>
    <w:tmpl w:val="F834A7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0037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225D8E"/>
    <w:multiLevelType w:val="hybridMultilevel"/>
    <w:tmpl w:val="EF96FD5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579F9C"/>
    <w:multiLevelType w:val="hybridMultilevel"/>
    <w:tmpl w:val="8264D754"/>
    <w:lvl w:ilvl="0" w:tplc="614E7FFE">
      <w:start w:val="1"/>
      <w:numFmt w:val="bullet"/>
      <w:lvlText w:val=""/>
      <w:lvlJc w:val="left"/>
      <w:pPr>
        <w:ind w:left="720" w:hanging="360"/>
      </w:pPr>
      <w:rPr>
        <w:rFonts w:ascii="Symbol" w:hAnsi="Symbol" w:hint="default"/>
      </w:rPr>
    </w:lvl>
    <w:lvl w:ilvl="1" w:tplc="9D625474">
      <w:start w:val="1"/>
      <w:numFmt w:val="bullet"/>
      <w:lvlText w:val="o"/>
      <w:lvlJc w:val="left"/>
      <w:pPr>
        <w:ind w:left="1440" w:hanging="360"/>
      </w:pPr>
      <w:rPr>
        <w:rFonts w:ascii="Courier New" w:hAnsi="Courier New" w:hint="default"/>
      </w:rPr>
    </w:lvl>
    <w:lvl w:ilvl="2" w:tplc="55A28126">
      <w:start w:val="1"/>
      <w:numFmt w:val="bullet"/>
      <w:lvlText w:val=""/>
      <w:lvlJc w:val="left"/>
      <w:pPr>
        <w:ind w:left="2160" w:hanging="360"/>
      </w:pPr>
      <w:rPr>
        <w:rFonts w:ascii="Wingdings" w:hAnsi="Wingdings" w:hint="default"/>
      </w:rPr>
    </w:lvl>
    <w:lvl w:ilvl="3" w:tplc="01162426">
      <w:start w:val="1"/>
      <w:numFmt w:val="bullet"/>
      <w:lvlText w:val=""/>
      <w:lvlJc w:val="left"/>
      <w:pPr>
        <w:ind w:left="2880" w:hanging="360"/>
      </w:pPr>
      <w:rPr>
        <w:rFonts w:ascii="Symbol" w:hAnsi="Symbol" w:hint="default"/>
      </w:rPr>
    </w:lvl>
    <w:lvl w:ilvl="4" w:tplc="295C0C3E">
      <w:start w:val="1"/>
      <w:numFmt w:val="bullet"/>
      <w:lvlText w:val="o"/>
      <w:lvlJc w:val="left"/>
      <w:pPr>
        <w:ind w:left="3600" w:hanging="360"/>
      </w:pPr>
      <w:rPr>
        <w:rFonts w:ascii="Courier New" w:hAnsi="Courier New" w:hint="default"/>
      </w:rPr>
    </w:lvl>
    <w:lvl w:ilvl="5" w:tplc="06B49872">
      <w:start w:val="1"/>
      <w:numFmt w:val="bullet"/>
      <w:lvlText w:val=""/>
      <w:lvlJc w:val="left"/>
      <w:pPr>
        <w:ind w:left="4320" w:hanging="360"/>
      </w:pPr>
      <w:rPr>
        <w:rFonts w:ascii="Wingdings" w:hAnsi="Wingdings" w:hint="default"/>
      </w:rPr>
    </w:lvl>
    <w:lvl w:ilvl="6" w:tplc="F79A9AE2">
      <w:start w:val="1"/>
      <w:numFmt w:val="bullet"/>
      <w:lvlText w:val=""/>
      <w:lvlJc w:val="left"/>
      <w:pPr>
        <w:ind w:left="5040" w:hanging="360"/>
      </w:pPr>
      <w:rPr>
        <w:rFonts w:ascii="Symbol" w:hAnsi="Symbol" w:hint="default"/>
      </w:rPr>
    </w:lvl>
    <w:lvl w:ilvl="7" w:tplc="6EEEFE52">
      <w:start w:val="1"/>
      <w:numFmt w:val="bullet"/>
      <w:lvlText w:val="o"/>
      <w:lvlJc w:val="left"/>
      <w:pPr>
        <w:ind w:left="5760" w:hanging="360"/>
      </w:pPr>
      <w:rPr>
        <w:rFonts w:ascii="Courier New" w:hAnsi="Courier New" w:hint="default"/>
      </w:rPr>
    </w:lvl>
    <w:lvl w:ilvl="8" w:tplc="4C3CFFE2">
      <w:start w:val="1"/>
      <w:numFmt w:val="bullet"/>
      <w:lvlText w:val=""/>
      <w:lvlJc w:val="left"/>
      <w:pPr>
        <w:ind w:left="6480" w:hanging="360"/>
      </w:pPr>
      <w:rPr>
        <w:rFonts w:ascii="Wingdings" w:hAnsi="Wingdings" w:hint="default"/>
      </w:rPr>
    </w:lvl>
  </w:abstractNum>
  <w:abstractNum w:abstractNumId="11" w15:restartNumberingAfterBreak="0">
    <w:nsid w:val="405C4E41"/>
    <w:multiLevelType w:val="multilevel"/>
    <w:tmpl w:val="AD6236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2D76349"/>
    <w:multiLevelType w:val="hybridMultilevel"/>
    <w:tmpl w:val="849251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42059"/>
    <w:multiLevelType w:val="hybridMultilevel"/>
    <w:tmpl w:val="6DB659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1F60400"/>
    <w:multiLevelType w:val="multilevel"/>
    <w:tmpl w:val="30D6F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D866E4"/>
    <w:multiLevelType w:val="hybridMultilevel"/>
    <w:tmpl w:val="8C74D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C876687"/>
    <w:multiLevelType w:val="hybridMultilevel"/>
    <w:tmpl w:val="19E2791E"/>
    <w:lvl w:ilvl="0" w:tplc="04090019">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7" w15:restartNumberingAfterBreak="0">
    <w:nsid w:val="5DB95855"/>
    <w:multiLevelType w:val="multilevel"/>
    <w:tmpl w:val="AD6236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FB85ED8"/>
    <w:multiLevelType w:val="hybridMultilevel"/>
    <w:tmpl w:val="432C5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6E20A6"/>
    <w:multiLevelType w:val="hybridMultilevel"/>
    <w:tmpl w:val="22741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7132320"/>
    <w:multiLevelType w:val="hybridMultilevel"/>
    <w:tmpl w:val="6DB659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8747A3E"/>
    <w:multiLevelType w:val="hybridMultilevel"/>
    <w:tmpl w:val="633C5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B65E77"/>
    <w:multiLevelType w:val="hybridMultilevel"/>
    <w:tmpl w:val="C5386E1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F1A630F"/>
    <w:multiLevelType w:val="hybridMultilevel"/>
    <w:tmpl w:val="6DB659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FD72F0C"/>
    <w:multiLevelType w:val="hybridMultilevel"/>
    <w:tmpl w:val="205821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1230655">
    <w:abstractNumId w:val="10"/>
  </w:num>
  <w:num w:numId="2" w16cid:durableId="707800197">
    <w:abstractNumId w:val="11"/>
  </w:num>
  <w:num w:numId="3" w16cid:durableId="1829975652">
    <w:abstractNumId w:val="17"/>
  </w:num>
  <w:num w:numId="4" w16cid:durableId="931402266">
    <w:abstractNumId w:val="4"/>
  </w:num>
  <w:num w:numId="5" w16cid:durableId="21394508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97247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2028424">
    <w:abstractNumId w:val="23"/>
  </w:num>
  <w:num w:numId="8" w16cid:durableId="691029404">
    <w:abstractNumId w:val="20"/>
  </w:num>
  <w:num w:numId="9" w16cid:durableId="228343271">
    <w:abstractNumId w:val="5"/>
  </w:num>
  <w:num w:numId="10" w16cid:durableId="1899172238">
    <w:abstractNumId w:val="1"/>
  </w:num>
  <w:num w:numId="11" w16cid:durableId="2144955433">
    <w:abstractNumId w:val="7"/>
  </w:num>
  <w:num w:numId="12" w16cid:durableId="712310835">
    <w:abstractNumId w:val="12"/>
  </w:num>
  <w:num w:numId="13" w16cid:durableId="1650985730">
    <w:abstractNumId w:val="24"/>
  </w:num>
  <w:num w:numId="14" w16cid:durableId="1745837167">
    <w:abstractNumId w:val="16"/>
  </w:num>
  <w:num w:numId="15" w16cid:durableId="329917903">
    <w:abstractNumId w:val="8"/>
  </w:num>
  <w:num w:numId="16" w16cid:durableId="2091613666">
    <w:abstractNumId w:val="3"/>
  </w:num>
  <w:num w:numId="17" w16cid:durableId="1280720283">
    <w:abstractNumId w:val="6"/>
  </w:num>
  <w:num w:numId="18" w16cid:durableId="2026781424">
    <w:abstractNumId w:val="14"/>
  </w:num>
  <w:num w:numId="19" w16cid:durableId="502164603">
    <w:abstractNumId w:val="2"/>
  </w:num>
  <w:num w:numId="20" w16cid:durableId="1719625227">
    <w:abstractNumId w:val="9"/>
  </w:num>
  <w:num w:numId="21" w16cid:durableId="1964726751">
    <w:abstractNumId w:val="0"/>
  </w:num>
  <w:num w:numId="22" w16cid:durableId="887374284">
    <w:abstractNumId w:val="22"/>
  </w:num>
  <w:num w:numId="23" w16cid:durableId="1996252769">
    <w:abstractNumId w:val="18"/>
  </w:num>
  <w:num w:numId="24" w16cid:durableId="2072458964">
    <w:abstractNumId w:val="21"/>
  </w:num>
  <w:num w:numId="25" w16cid:durableId="124684562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i Min">
    <w15:presenceInfo w15:providerId="AD" w15:userId="S::hmin@nw.org::4c33cfcc-59dd-4d85-8924-85dd87ea7685"/>
  </w15:person>
  <w15:person w15:author="Tiera Day">
    <w15:presenceInfo w15:providerId="AD" w15:userId="S::tday@nw.org::5680f881-8f99-4c2a-9cb5-0e32e2ff9f60"/>
  </w15:person>
  <w15:person w15:author="Brenna Cooley">
    <w15:presenceInfo w15:providerId="AD" w15:userId="S::bcooley@nw.org::0437da1d-a373-46a8-b957-250e52c1a5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7B7"/>
    <w:rsid w:val="000001FF"/>
    <w:rsid w:val="000014C1"/>
    <w:rsid w:val="000039BF"/>
    <w:rsid w:val="00015BEA"/>
    <w:rsid w:val="000178E2"/>
    <w:rsid w:val="000338B6"/>
    <w:rsid w:val="000522FE"/>
    <w:rsid w:val="00052AE7"/>
    <w:rsid w:val="000931F8"/>
    <w:rsid w:val="00095B2E"/>
    <w:rsid w:val="001037BB"/>
    <w:rsid w:val="00125808"/>
    <w:rsid w:val="00126792"/>
    <w:rsid w:val="00156650"/>
    <w:rsid w:val="00195D2F"/>
    <w:rsid w:val="001A6FBA"/>
    <w:rsid w:val="001C5F3F"/>
    <w:rsid w:val="001D7BD2"/>
    <w:rsid w:val="001E5DF8"/>
    <w:rsid w:val="001F3CA0"/>
    <w:rsid w:val="00204F02"/>
    <w:rsid w:val="00211620"/>
    <w:rsid w:val="002126B6"/>
    <w:rsid w:val="002129C3"/>
    <w:rsid w:val="00213576"/>
    <w:rsid w:val="002162C0"/>
    <w:rsid w:val="00232834"/>
    <w:rsid w:val="0025593A"/>
    <w:rsid w:val="0026310C"/>
    <w:rsid w:val="0026510B"/>
    <w:rsid w:val="002930D0"/>
    <w:rsid w:val="002958A3"/>
    <w:rsid w:val="002C5A8E"/>
    <w:rsid w:val="00300EFE"/>
    <w:rsid w:val="0030396B"/>
    <w:rsid w:val="00310B91"/>
    <w:rsid w:val="00312FAB"/>
    <w:rsid w:val="003317E4"/>
    <w:rsid w:val="00335A13"/>
    <w:rsid w:val="003507F6"/>
    <w:rsid w:val="003578DA"/>
    <w:rsid w:val="00360878"/>
    <w:rsid w:val="003608B1"/>
    <w:rsid w:val="003647B8"/>
    <w:rsid w:val="00390CBD"/>
    <w:rsid w:val="00395D1E"/>
    <w:rsid w:val="003B58C9"/>
    <w:rsid w:val="003C1229"/>
    <w:rsid w:val="003C7C2A"/>
    <w:rsid w:val="003D15E8"/>
    <w:rsid w:val="003E222C"/>
    <w:rsid w:val="003E49D8"/>
    <w:rsid w:val="003F179A"/>
    <w:rsid w:val="0040340D"/>
    <w:rsid w:val="00404C6E"/>
    <w:rsid w:val="0041593B"/>
    <w:rsid w:val="00422B9F"/>
    <w:rsid w:val="0044384B"/>
    <w:rsid w:val="00461898"/>
    <w:rsid w:val="004746B8"/>
    <w:rsid w:val="0049349E"/>
    <w:rsid w:val="004C5298"/>
    <w:rsid w:val="004E17B7"/>
    <w:rsid w:val="004E6BD8"/>
    <w:rsid w:val="004F1C80"/>
    <w:rsid w:val="004F77E6"/>
    <w:rsid w:val="00505C85"/>
    <w:rsid w:val="00510578"/>
    <w:rsid w:val="0051156C"/>
    <w:rsid w:val="005547B7"/>
    <w:rsid w:val="005611F3"/>
    <w:rsid w:val="0058017E"/>
    <w:rsid w:val="005926DE"/>
    <w:rsid w:val="005A5E21"/>
    <w:rsid w:val="005B5E02"/>
    <w:rsid w:val="005E0BBA"/>
    <w:rsid w:val="005E297E"/>
    <w:rsid w:val="005F3A39"/>
    <w:rsid w:val="00630CE5"/>
    <w:rsid w:val="00632FF1"/>
    <w:rsid w:val="00662151"/>
    <w:rsid w:val="006671C5"/>
    <w:rsid w:val="00674FEE"/>
    <w:rsid w:val="006761F9"/>
    <w:rsid w:val="00680EC1"/>
    <w:rsid w:val="00683C7D"/>
    <w:rsid w:val="00695C5A"/>
    <w:rsid w:val="006C5762"/>
    <w:rsid w:val="006C5C12"/>
    <w:rsid w:val="006C6078"/>
    <w:rsid w:val="006D02DF"/>
    <w:rsid w:val="006D608B"/>
    <w:rsid w:val="007078ED"/>
    <w:rsid w:val="007111BC"/>
    <w:rsid w:val="00711A5C"/>
    <w:rsid w:val="00725AD8"/>
    <w:rsid w:val="00766967"/>
    <w:rsid w:val="00790F80"/>
    <w:rsid w:val="007B1A5D"/>
    <w:rsid w:val="007D1509"/>
    <w:rsid w:val="007F1552"/>
    <w:rsid w:val="00802E4E"/>
    <w:rsid w:val="008216E8"/>
    <w:rsid w:val="00842FF0"/>
    <w:rsid w:val="0084378E"/>
    <w:rsid w:val="008539D0"/>
    <w:rsid w:val="00863F5B"/>
    <w:rsid w:val="0086F868"/>
    <w:rsid w:val="008942EF"/>
    <w:rsid w:val="008A0560"/>
    <w:rsid w:val="008B68E4"/>
    <w:rsid w:val="008E7FB0"/>
    <w:rsid w:val="008F64F3"/>
    <w:rsid w:val="009062A8"/>
    <w:rsid w:val="009078C8"/>
    <w:rsid w:val="00913120"/>
    <w:rsid w:val="009302E5"/>
    <w:rsid w:val="0094291F"/>
    <w:rsid w:val="00953AFE"/>
    <w:rsid w:val="00962208"/>
    <w:rsid w:val="00962E81"/>
    <w:rsid w:val="009651CB"/>
    <w:rsid w:val="009853C0"/>
    <w:rsid w:val="00985794"/>
    <w:rsid w:val="00993208"/>
    <w:rsid w:val="00996DFE"/>
    <w:rsid w:val="009B1233"/>
    <w:rsid w:val="009B21E5"/>
    <w:rsid w:val="009B4C7C"/>
    <w:rsid w:val="00A0022A"/>
    <w:rsid w:val="00A00C09"/>
    <w:rsid w:val="00A11DBC"/>
    <w:rsid w:val="00A16A50"/>
    <w:rsid w:val="00A279C7"/>
    <w:rsid w:val="00A27A8B"/>
    <w:rsid w:val="00A36374"/>
    <w:rsid w:val="00A405EB"/>
    <w:rsid w:val="00A54A34"/>
    <w:rsid w:val="00A54E7B"/>
    <w:rsid w:val="00A56F34"/>
    <w:rsid w:val="00A600D8"/>
    <w:rsid w:val="00A81240"/>
    <w:rsid w:val="00A90C22"/>
    <w:rsid w:val="00A955E2"/>
    <w:rsid w:val="00A964BD"/>
    <w:rsid w:val="00AA0B28"/>
    <w:rsid w:val="00AA10D0"/>
    <w:rsid w:val="00AB1DB6"/>
    <w:rsid w:val="00AB265A"/>
    <w:rsid w:val="00AC2087"/>
    <w:rsid w:val="00AC42DA"/>
    <w:rsid w:val="00AC73E0"/>
    <w:rsid w:val="00AC7459"/>
    <w:rsid w:val="00AD11A8"/>
    <w:rsid w:val="00AF0020"/>
    <w:rsid w:val="00B320B6"/>
    <w:rsid w:val="00B342F1"/>
    <w:rsid w:val="00B3585B"/>
    <w:rsid w:val="00B43EA6"/>
    <w:rsid w:val="00B444B7"/>
    <w:rsid w:val="00B64A0E"/>
    <w:rsid w:val="00B90976"/>
    <w:rsid w:val="00B9574D"/>
    <w:rsid w:val="00BB4587"/>
    <w:rsid w:val="00BC307E"/>
    <w:rsid w:val="00BF3724"/>
    <w:rsid w:val="00C0012B"/>
    <w:rsid w:val="00C02C5C"/>
    <w:rsid w:val="00C13BAB"/>
    <w:rsid w:val="00C25162"/>
    <w:rsid w:val="00C46F36"/>
    <w:rsid w:val="00C53EC3"/>
    <w:rsid w:val="00C54598"/>
    <w:rsid w:val="00C77703"/>
    <w:rsid w:val="00C90EF1"/>
    <w:rsid w:val="00C96C6E"/>
    <w:rsid w:val="00CA3252"/>
    <w:rsid w:val="00CA7AE4"/>
    <w:rsid w:val="00CB21EA"/>
    <w:rsid w:val="00CB766F"/>
    <w:rsid w:val="00CE3F0C"/>
    <w:rsid w:val="00CF2C65"/>
    <w:rsid w:val="00D00A52"/>
    <w:rsid w:val="00D2320F"/>
    <w:rsid w:val="00D4186B"/>
    <w:rsid w:val="00D42A15"/>
    <w:rsid w:val="00D4719E"/>
    <w:rsid w:val="00D517AA"/>
    <w:rsid w:val="00D87256"/>
    <w:rsid w:val="00DA4264"/>
    <w:rsid w:val="00DB7C16"/>
    <w:rsid w:val="00DC0027"/>
    <w:rsid w:val="00DC423F"/>
    <w:rsid w:val="00DD38FE"/>
    <w:rsid w:val="00DD6C90"/>
    <w:rsid w:val="00DE261E"/>
    <w:rsid w:val="00E00D5D"/>
    <w:rsid w:val="00E07324"/>
    <w:rsid w:val="00E13BF3"/>
    <w:rsid w:val="00E2073E"/>
    <w:rsid w:val="00E20CDF"/>
    <w:rsid w:val="00E33BB4"/>
    <w:rsid w:val="00E3B8B4"/>
    <w:rsid w:val="00E431A1"/>
    <w:rsid w:val="00E531F8"/>
    <w:rsid w:val="00E55FB9"/>
    <w:rsid w:val="00E5785C"/>
    <w:rsid w:val="00E6297C"/>
    <w:rsid w:val="00E67335"/>
    <w:rsid w:val="00E757DE"/>
    <w:rsid w:val="00EA7BD1"/>
    <w:rsid w:val="00EC71A1"/>
    <w:rsid w:val="00EE6C38"/>
    <w:rsid w:val="00EF0F13"/>
    <w:rsid w:val="00EF1DD7"/>
    <w:rsid w:val="00F30006"/>
    <w:rsid w:val="00F36818"/>
    <w:rsid w:val="00F479FE"/>
    <w:rsid w:val="00F71D03"/>
    <w:rsid w:val="00F72BB4"/>
    <w:rsid w:val="00F754A5"/>
    <w:rsid w:val="00F7583E"/>
    <w:rsid w:val="00F838C8"/>
    <w:rsid w:val="00F85343"/>
    <w:rsid w:val="00FA540D"/>
    <w:rsid w:val="00FD310A"/>
    <w:rsid w:val="00FD35C3"/>
    <w:rsid w:val="00FF178C"/>
    <w:rsid w:val="00FF2975"/>
    <w:rsid w:val="02640E64"/>
    <w:rsid w:val="02994FED"/>
    <w:rsid w:val="02AF4764"/>
    <w:rsid w:val="02F74ECC"/>
    <w:rsid w:val="02FC68D5"/>
    <w:rsid w:val="04DA7B39"/>
    <w:rsid w:val="04F10901"/>
    <w:rsid w:val="05051A33"/>
    <w:rsid w:val="05145900"/>
    <w:rsid w:val="05470F69"/>
    <w:rsid w:val="06535D1A"/>
    <w:rsid w:val="075CEC87"/>
    <w:rsid w:val="0762A551"/>
    <w:rsid w:val="083D7C15"/>
    <w:rsid w:val="085CA3A7"/>
    <w:rsid w:val="0944F5D1"/>
    <w:rsid w:val="0A48D75C"/>
    <w:rsid w:val="0AA2F805"/>
    <w:rsid w:val="0ADB4B5A"/>
    <w:rsid w:val="0B209BF0"/>
    <w:rsid w:val="0B2E964A"/>
    <w:rsid w:val="0B71499E"/>
    <w:rsid w:val="0C3FD8E4"/>
    <w:rsid w:val="0C461C29"/>
    <w:rsid w:val="0C761C0C"/>
    <w:rsid w:val="0C9D8179"/>
    <w:rsid w:val="0CCAECDA"/>
    <w:rsid w:val="0CDFE843"/>
    <w:rsid w:val="0D39E3EE"/>
    <w:rsid w:val="0D815C44"/>
    <w:rsid w:val="0DA4A359"/>
    <w:rsid w:val="0E369CB3"/>
    <w:rsid w:val="0E6CB0AE"/>
    <w:rsid w:val="0F284593"/>
    <w:rsid w:val="0F9D19C8"/>
    <w:rsid w:val="0F9E296B"/>
    <w:rsid w:val="10DEDA17"/>
    <w:rsid w:val="117DAAA0"/>
    <w:rsid w:val="1220B40B"/>
    <w:rsid w:val="1236965B"/>
    <w:rsid w:val="12AA19DB"/>
    <w:rsid w:val="1318E4C3"/>
    <w:rsid w:val="1384B315"/>
    <w:rsid w:val="13D7AA39"/>
    <w:rsid w:val="14318DA0"/>
    <w:rsid w:val="1461A361"/>
    <w:rsid w:val="14A7D561"/>
    <w:rsid w:val="152CB469"/>
    <w:rsid w:val="15330A62"/>
    <w:rsid w:val="157ADB9E"/>
    <w:rsid w:val="15DB8089"/>
    <w:rsid w:val="15E1CF50"/>
    <w:rsid w:val="15FD8A1A"/>
    <w:rsid w:val="17061714"/>
    <w:rsid w:val="17061D61"/>
    <w:rsid w:val="189EBC28"/>
    <w:rsid w:val="18A34963"/>
    <w:rsid w:val="18C4D750"/>
    <w:rsid w:val="18D6436A"/>
    <w:rsid w:val="19333061"/>
    <w:rsid w:val="19F5F3F0"/>
    <w:rsid w:val="19F8B86B"/>
    <w:rsid w:val="1A1D8496"/>
    <w:rsid w:val="1AD89318"/>
    <w:rsid w:val="1BBD79C4"/>
    <w:rsid w:val="1BFE7725"/>
    <w:rsid w:val="1D3F0908"/>
    <w:rsid w:val="1D8F5CEC"/>
    <w:rsid w:val="1DD966C1"/>
    <w:rsid w:val="1E8C37B3"/>
    <w:rsid w:val="1ECF0246"/>
    <w:rsid w:val="1F8932C2"/>
    <w:rsid w:val="1FB5CD37"/>
    <w:rsid w:val="1FC7E0E2"/>
    <w:rsid w:val="20389531"/>
    <w:rsid w:val="20FFD595"/>
    <w:rsid w:val="22399115"/>
    <w:rsid w:val="22AF1FAA"/>
    <w:rsid w:val="22E825CC"/>
    <w:rsid w:val="23340737"/>
    <w:rsid w:val="2358962D"/>
    <w:rsid w:val="2359F1AF"/>
    <w:rsid w:val="23DA458F"/>
    <w:rsid w:val="24596AFB"/>
    <w:rsid w:val="24A558F1"/>
    <w:rsid w:val="253FBAE7"/>
    <w:rsid w:val="254AD06B"/>
    <w:rsid w:val="2556B668"/>
    <w:rsid w:val="26B4CCF6"/>
    <w:rsid w:val="26ED756B"/>
    <w:rsid w:val="28A6A2A5"/>
    <w:rsid w:val="290B3486"/>
    <w:rsid w:val="29F1016A"/>
    <w:rsid w:val="2AAACA28"/>
    <w:rsid w:val="2ABBF9D8"/>
    <w:rsid w:val="2AF92D0D"/>
    <w:rsid w:val="2B7A6932"/>
    <w:rsid w:val="2BA15172"/>
    <w:rsid w:val="2C8987E0"/>
    <w:rsid w:val="2CF41C27"/>
    <w:rsid w:val="2D221550"/>
    <w:rsid w:val="2D81D2EF"/>
    <w:rsid w:val="2E83337C"/>
    <w:rsid w:val="2F109E38"/>
    <w:rsid w:val="30292BB4"/>
    <w:rsid w:val="3119C5F8"/>
    <w:rsid w:val="32F12561"/>
    <w:rsid w:val="33D1C4F6"/>
    <w:rsid w:val="340D756E"/>
    <w:rsid w:val="34436065"/>
    <w:rsid w:val="344AD275"/>
    <w:rsid w:val="345DCF7C"/>
    <w:rsid w:val="34C04F62"/>
    <w:rsid w:val="350F5B17"/>
    <w:rsid w:val="356C7DF2"/>
    <w:rsid w:val="35B22ED7"/>
    <w:rsid w:val="35CF2BBA"/>
    <w:rsid w:val="35F8257E"/>
    <w:rsid w:val="365EB9E4"/>
    <w:rsid w:val="36D35A46"/>
    <w:rsid w:val="36FDE319"/>
    <w:rsid w:val="37121EE6"/>
    <w:rsid w:val="37B0FF0A"/>
    <w:rsid w:val="38146153"/>
    <w:rsid w:val="398F861B"/>
    <w:rsid w:val="3A04F5DC"/>
    <w:rsid w:val="3A173957"/>
    <w:rsid w:val="3A82CB2E"/>
    <w:rsid w:val="3B8883BA"/>
    <w:rsid w:val="3C14B331"/>
    <w:rsid w:val="3D58F145"/>
    <w:rsid w:val="3E514651"/>
    <w:rsid w:val="3EC9C42B"/>
    <w:rsid w:val="3F08C011"/>
    <w:rsid w:val="3F3D0B5D"/>
    <w:rsid w:val="402D4455"/>
    <w:rsid w:val="4049D1EF"/>
    <w:rsid w:val="40953A7F"/>
    <w:rsid w:val="40CB390A"/>
    <w:rsid w:val="42781546"/>
    <w:rsid w:val="42A6916F"/>
    <w:rsid w:val="431ECB16"/>
    <w:rsid w:val="433754F1"/>
    <w:rsid w:val="440E12F9"/>
    <w:rsid w:val="449DBE0B"/>
    <w:rsid w:val="44CE17A4"/>
    <w:rsid w:val="44CF5F5F"/>
    <w:rsid w:val="469A0D2E"/>
    <w:rsid w:val="46AB11D6"/>
    <w:rsid w:val="46CEC9CD"/>
    <w:rsid w:val="47E7E6D0"/>
    <w:rsid w:val="48BFF70A"/>
    <w:rsid w:val="48C883F0"/>
    <w:rsid w:val="4932645C"/>
    <w:rsid w:val="49375262"/>
    <w:rsid w:val="49AB3C0F"/>
    <w:rsid w:val="4ABEFBA8"/>
    <w:rsid w:val="4AC62F2A"/>
    <w:rsid w:val="4B28E125"/>
    <w:rsid w:val="4B4DF3E5"/>
    <w:rsid w:val="4BC203BA"/>
    <w:rsid w:val="4CA290C0"/>
    <w:rsid w:val="4D325144"/>
    <w:rsid w:val="4E257B58"/>
    <w:rsid w:val="4E8A96F3"/>
    <w:rsid w:val="4EDB7576"/>
    <w:rsid w:val="4FC1D843"/>
    <w:rsid w:val="50A39D85"/>
    <w:rsid w:val="50D27F7D"/>
    <w:rsid w:val="50E881CE"/>
    <w:rsid w:val="529797B6"/>
    <w:rsid w:val="52AA9116"/>
    <w:rsid w:val="532D75F6"/>
    <w:rsid w:val="53CBFE0F"/>
    <w:rsid w:val="53CE0215"/>
    <w:rsid w:val="54117A7A"/>
    <w:rsid w:val="54ADDF35"/>
    <w:rsid w:val="551F7173"/>
    <w:rsid w:val="556CFBB5"/>
    <w:rsid w:val="5688A43E"/>
    <w:rsid w:val="568FB894"/>
    <w:rsid w:val="56BB49D9"/>
    <w:rsid w:val="5722DBD8"/>
    <w:rsid w:val="5752AF17"/>
    <w:rsid w:val="578694CA"/>
    <w:rsid w:val="58840E50"/>
    <w:rsid w:val="58A9A47E"/>
    <w:rsid w:val="58C2AF7B"/>
    <w:rsid w:val="594958A3"/>
    <w:rsid w:val="59DCF79E"/>
    <w:rsid w:val="5A2B851E"/>
    <w:rsid w:val="5AD99735"/>
    <w:rsid w:val="5B20B6C7"/>
    <w:rsid w:val="5C68CDF8"/>
    <w:rsid w:val="5E23A68E"/>
    <w:rsid w:val="5F1E530B"/>
    <w:rsid w:val="5F58D0B2"/>
    <w:rsid w:val="5FF5C49A"/>
    <w:rsid w:val="616245E7"/>
    <w:rsid w:val="62EF3BC9"/>
    <w:rsid w:val="63632BA4"/>
    <w:rsid w:val="639383F1"/>
    <w:rsid w:val="639794F4"/>
    <w:rsid w:val="643C52A6"/>
    <w:rsid w:val="6484DDB7"/>
    <w:rsid w:val="64CF7D0C"/>
    <w:rsid w:val="64D315A4"/>
    <w:rsid w:val="65647783"/>
    <w:rsid w:val="661E6D6C"/>
    <w:rsid w:val="66657C01"/>
    <w:rsid w:val="66DF157C"/>
    <w:rsid w:val="675C7DEA"/>
    <w:rsid w:val="68A59073"/>
    <w:rsid w:val="68E52DDD"/>
    <w:rsid w:val="694B9E37"/>
    <w:rsid w:val="6AFF1433"/>
    <w:rsid w:val="6B5188D7"/>
    <w:rsid w:val="6BAC7D40"/>
    <w:rsid w:val="6BD4CF23"/>
    <w:rsid w:val="6BD81698"/>
    <w:rsid w:val="6C075388"/>
    <w:rsid w:val="6C19B821"/>
    <w:rsid w:val="6E220988"/>
    <w:rsid w:val="702878AD"/>
    <w:rsid w:val="70767AF0"/>
    <w:rsid w:val="70976000"/>
    <w:rsid w:val="71572908"/>
    <w:rsid w:val="715A9941"/>
    <w:rsid w:val="71AE6D39"/>
    <w:rsid w:val="72005BB0"/>
    <w:rsid w:val="723B12C9"/>
    <w:rsid w:val="72A67799"/>
    <w:rsid w:val="7301361B"/>
    <w:rsid w:val="7320D516"/>
    <w:rsid w:val="737ADB28"/>
    <w:rsid w:val="738AC363"/>
    <w:rsid w:val="73E831A8"/>
    <w:rsid w:val="73EFF9F2"/>
    <w:rsid w:val="75182943"/>
    <w:rsid w:val="75544255"/>
    <w:rsid w:val="773801B7"/>
    <w:rsid w:val="77C71DD3"/>
    <w:rsid w:val="786315D6"/>
    <w:rsid w:val="78BE51D9"/>
    <w:rsid w:val="79BE276B"/>
    <w:rsid w:val="7B440D42"/>
    <w:rsid w:val="7BB9E35B"/>
    <w:rsid w:val="7BCCE05F"/>
    <w:rsid w:val="7C165978"/>
    <w:rsid w:val="7C3B8CA0"/>
    <w:rsid w:val="7C622137"/>
    <w:rsid w:val="7CDBD45E"/>
    <w:rsid w:val="7D951EF2"/>
    <w:rsid w:val="7DF6D1BD"/>
    <w:rsid w:val="7E8C60B2"/>
    <w:rsid w:val="7F7BFDAF"/>
    <w:rsid w:val="7F7C30B9"/>
    <w:rsid w:val="7FE14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9B6CA"/>
  <w15:docId w15:val="{1A9880B8-6201-406B-8D34-83D22063E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D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31FDC"/>
    <w:pPr>
      <w:ind w:left="720"/>
    </w:pPr>
  </w:style>
  <w:style w:type="paragraph" w:styleId="Header">
    <w:name w:val="header"/>
    <w:basedOn w:val="Normal"/>
    <w:link w:val="HeaderChar"/>
    <w:uiPriority w:val="99"/>
    <w:unhideWhenUsed/>
    <w:rsid w:val="00531FDC"/>
    <w:pPr>
      <w:tabs>
        <w:tab w:val="center" w:pos="4680"/>
        <w:tab w:val="right" w:pos="9360"/>
      </w:tabs>
    </w:pPr>
  </w:style>
  <w:style w:type="character" w:customStyle="1" w:styleId="HeaderChar">
    <w:name w:val="Header Char"/>
    <w:basedOn w:val="DefaultParagraphFont"/>
    <w:link w:val="Header"/>
    <w:uiPriority w:val="99"/>
    <w:rsid w:val="00531FDC"/>
    <w:rPr>
      <w:rFonts w:ascii="Calibri" w:hAnsi="Calibri" w:cs="Calibri"/>
    </w:rPr>
  </w:style>
  <w:style w:type="paragraph" w:styleId="Footer">
    <w:name w:val="footer"/>
    <w:basedOn w:val="Normal"/>
    <w:link w:val="FooterChar"/>
    <w:uiPriority w:val="99"/>
    <w:unhideWhenUsed/>
    <w:rsid w:val="00531FDC"/>
    <w:pPr>
      <w:tabs>
        <w:tab w:val="center" w:pos="4680"/>
        <w:tab w:val="right" w:pos="9360"/>
      </w:tabs>
    </w:pPr>
  </w:style>
  <w:style w:type="character" w:customStyle="1" w:styleId="FooterChar">
    <w:name w:val="Footer Char"/>
    <w:basedOn w:val="DefaultParagraphFont"/>
    <w:link w:val="Footer"/>
    <w:uiPriority w:val="99"/>
    <w:rsid w:val="00531FDC"/>
    <w:rPr>
      <w:rFonts w:ascii="Calibri" w:hAnsi="Calibri" w:cs="Calibri"/>
    </w:rPr>
  </w:style>
  <w:style w:type="table" w:styleId="TableGrid">
    <w:name w:val="Table Grid"/>
    <w:basedOn w:val="TableNormal"/>
    <w:uiPriority w:val="39"/>
    <w:rsid w:val="00F41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AC2087"/>
    <w:rPr>
      <w:color w:val="0563C1"/>
      <w:u w:val="single"/>
    </w:rPr>
  </w:style>
  <w:style w:type="paragraph" w:customStyle="1" w:styleId="m-2165754623470208411msolistparagraph">
    <w:name w:val="m_-2165754623470208411msolistparagraph"/>
    <w:basedOn w:val="Normal"/>
    <w:rsid w:val="00F7583E"/>
    <w:pPr>
      <w:spacing w:before="100" w:beforeAutospacing="1" w:after="100" w:afterAutospacing="1"/>
    </w:pPr>
    <w:rPr>
      <w:rFonts w:eastAsia="Times New Roman"/>
    </w:rPr>
  </w:style>
  <w:style w:type="paragraph" w:styleId="Revision">
    <w:name w:val="Revision"/>
    <w:hidden/>
    <w:uiPriority w:val="99"/>
    <w:semiHidden/>
    <w:rsid w:val="00E531F8"/>
  </w:style>
  <w:style w:type="character" w:styleId="CommentReference">
    <w:name w:val="annotation reference"/>
    <w:basedOn w:val="DefaultParagraphFont"/>
    <w:uiPriority w:val="99"/>
    <w:semiHidden/>
    <w:unhideWhenUsed/>
    <w:rsid w:val="00E531F8"/>
    <w:rPr>
      <w:sz w:val="16"/>
      <w:szCs w:val="16"/>
    </w:rPr>
  </w:style>
  <w:style w:type="paragraph" w:styleId="CommentText">
    <w:name w:val="annotation text"/>
    <w:basedOn w:val="Normal"/>
    <w:link w:val="CommentTextChar"/>
    <w:uiPriority w:val="99"/>
    <w:unhideWhenUsed/>
    <w:rsid w:val="00E531F8"/>
    <w:rPr>
      <w:sz w:val="20"/>
      <w:szCs w:val="20"/>
    </w:rPr>
  </w:style>
  <w:style w:type="character" w:customStyle="1" w:styleId="CommentTextChar">
    <w:name w:val="Comment Text Char"/>
    <w:basedOn w:val="DefaultParagraphFont"/>
    <w:link w:val="CommentText"/>
    <w:uiPriority w:val="99"/>
    <w:rsid w:val="00E531F8"/>
    <w:rPr>
      <w:sz w:val="20"/>
      <w:szCs w:val="20"/>
    </w:rPr>
  </w:style>
  <w:style w:type="paragraph" w:styleId="CommentSubject">
    <w:name w:val="annotation subject"/>
    <w:basedOn w:val="CommentText"/>
    <w:next w:val="CommentText"/>
    <w:link w:val="CommentSubjectChar"/>
    <w:uiPriority w:val="99"/>
    <w:semiHidden/>
    <w:unhideWhenUsed/>
    <w:rsid w:val="00E531F8"/>
    <w:rPr>
      <w:b/>
      <w:bCs/>
    </w:rPr>
  </w:style>
  <w:style w:type="character" w:customStyle="1" w:styleId="CommentSubjectChar">
    <w:name w:val="Comment Subject Char"/>
    <w:basedOn w:val="CommentTextChar"/>
    <w:link w:val="CommentSubject"/>
    <w:uiPriority w:val="99"/>
    <w:semiHidden/>
    <w:rsid w:val="00E531F8"/>
    <w:rPr>
      <w:b/>
      <w:bCs/>
      <w:sz w:val="20"/>
      <w:szCs w:val="20"/>
    </w:rPr>
  </w:style>
  <w:style w:type="character" w:styleId="UnresolvedMention">
    <w:name w:val="Unresolved Mention"/>
    <w:basedOn w:val="DefaultParagraphFont"/>
    <w:uiPriority w:val="99"/>
    <w:semiHidden/>
    <w:unhideWhenUsed/>
    <w:rsid w:val="005E297E"/>
    <w:rPr>
      <w:color w:val="605E5C"/>
      <w:shd w:val="clear" w:color="auto" w:fill="E1DFDD"/>
    </w:rPr>
  </w:style>
  <w:style w:type="character" w:styleId="FollowedHyperlink">
    <w:name w:val="FollowedHyperlink"/>
    <w:basedOn w:val="DefaultParagraphFont"/>
    <w:uiPriority w:val="99"/>
    <w:semiHidden/>
    <w:unhideWhenUsed/>
    <w:rsid w:val="00EC71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61312">
      <w:bodyDiv w:val="1"/>
      <w:marLeft w:val="0"/>
      <w:marRight w:val="0"/>
      <w:marTop w:val="0"/>
      <w:marBottom w:val="0"/>
      <w:divBdr>
        <w:top w:val="none" w:sz="0" w:space="0" w:color="auto"/>
        <w:left w:val="none" w:sz="0" w:space="0" w:color="auto"/>
        <w:bottom w:val="none" w:sz="0" w:space="0" w:color="auto"/>
        <w:right w:val="none" w:sz="0" w:space="0" w:color="auto"/>
      </w:divBdr>
    </w:div>
    <w:div w:id="186212127">
      <w:bodyDiv w:val="1"/>
      <w:marLeft w:val="0"/>
      <w:marRight w:val="0"/>
      <w:marTop w:val="0"/>
      <w:marBottom w:val="0"/>
      <w:divBdr>
        <w:top w:val="none" w:sz="0" w:space="0" w:color="auto"/>
        <w:left w:val="none" w:sz="0" w:space="0" w:color="auto"/>
        <w:bottom w:val="none" w:sz="0" w:space="0" w:color="auto"/>
        <w:right w:val="none" w:sz="0" w:space="0" w:color="auto"/>
      </w:divBdr>
    </w:div>
    <w:div w:id="198667130">
      <w:bodyDiv w:val="1"/>
      <w:marLeft w:val="0"/>
      <w:marRight w:val="0"/>
      <w:marTop w:val="0"/>
      <w:marBottom w:val="0"/>
      <w:divBdr>
        <w:top w:val="none" w:sz="0" w:space="0" w:color="auto"/>
        <w:left w:val="none" w:sz="0" w:space="0" w:color="auto"/>
        <w:bottom w:val="none" w:sz="0" w:space="0" w:color="auto"/>
        <w:right w:val="none" w:sz="0" w:space="0" w:color="auto"/>
      </w:divBdr>
    </w:div>
    <w:div w:id="208610767">
      <w:bodyDiv w:val="1"/>
      <w:marLeft w:val="0"/>
      <w:marRight w:val="0"/>
      <w:marTop w:val="0"/>
      <w:marBottom w:val="0"/>
      <w:divBdr>
        <w:top w:val="none" w:sz="0" w:space="0" w:color="auto"/>
        <w:left w:val="none" w:sz="0" w:space="0" w:color="auto"/>
        <w:bottom w:val="none" w:sz="0" w:space="0" w:color="auto"/>
        <w:right w:val="none" w:sz="0" w:space="0" w:color="auto"/>
      </w:divBdr>
    </w:div>
    <w:div w:id="238096103">
      <w:bodyDiv w:val="1"/>
      <w:marLeft w:val="0"/>
      <w:marRight w:val="0"/>
      <w:marTop w:val="0"/>
      <w:marBottom w:val="0"/>
      <w:divBdr>
        <w:top w:val="none" w:sz="0" w:space="0" w:color="auto"/>
        <w:left w:val="none" w:sz="0" w:space="0" w:color="auto"/>
        <w:bottom w:val="none" w:sz="0" w:space="0" w:color="auto"/>
        <w:right w:val="none" w:sz="0" w:space="0" w:color="auto"/>
      </w:divBdr>
    </w:div>
    <w:div w:id="316735807">
      <w:bodyDiv w:val="1"/>
      <w:marLeft w:val="0"/>
      <w:marRight w:val="0"/>
      <w:marTop w:val="0"/>
      <w:marBottom w:val="0"/>
      <w:divBdr>
        <w:top w:val="none" w:sz="0" w:space="0" w:color="auto"/>
        <w:left w:val="none" w:sz="0" w:space="0" w:color="auto"/>
        <w:bottom w:val="none" w:sz="0" w:space="0" w:color="auto"/>
        <w:right w:val="none" w:sz="0" w:space="0" w:color="auto"/>
      </w:divBdr>
    </w:div>
    <w:div w:id="400254544">
      <w:bodyDiv w:val="1"/>
      <w:marLeft w:val="0"/>
      <w:marRight w:val="0"/>
      <w:marTop w:val="0"/>
      <w:marBottom w:val="0"/>
      <w:divBdr>
        <w:top w:val="none" w:sz="0" w:space="0" w:color="auto"/>
        <w:left w:val="none" w:sz="0" w:space="0" w:color="auto"/>
        <w:bottom w:val="none" w:sz="0" w:space="0" w:color="auto"/>
        <w:right w:val="none" w:sz="0" w:space="0" w:color="auto"/>
      </w:divBdr>
    </w:div>
    <w:div w:id="420639445">
      <w:bodyDiv w:val="1"/>
      <w:marLeft w:val="0"/>
      <w:marRight w:val="0"/>
      <w:marTop w:val="0"/>
      <w:marBottom w:val="0"/>
      <w:divBdr>
        <w:top w:val="none" w:sz="0" w:space="0" w:color="auto"/>
        <w:left w:val="none" w:sz="0" w:space="0" w:color="auto"/>
        <w:bottom w:val="none" w:sz="0" w:space="0" w:color="auto"/>
        <w:right w:val="none" w:sz="0" w:space="0" w:color="auto"/>
      </w:divBdr>
    </w:div>
    <w:div w:id="506022880">
      <w:bodyDiv w:val="1"/>
      <w:marLeft w:val="0"/>
      <w:marRight w:val="0"/>
      <w:marTop w:val="0"/>
      <w:marBottom w:val="0"/>
      <w:divBdr>
        <w:top w:val="none" w:sz="0" w:space="0" w:color="auto"/>
        <w:left w:val="none" w:sz="0" w:space="0" w:color="auto"/>
        <w:bottom w:val="none" w:sz="0" w:space="0" w:color="auto"/>
        <w:right w:val="none" w:sz="0" w:space="0" w:color="auto"/>
      </w:divBdr>
    </w:div>
    <w:div w:id="535780256">
      <w:bodyDiv w:val="1"/>
      <w:marLeft w:val="0"/>
      <w:marRight w:val="0"/>
      <w:marTop w:val="0"/>
      <w:marBottom w:val="0"/>
      <w:divBdr>
        <w:top w:val="none" w:sz="0" w:space="0" w:color="auto"/>
        <w:left w:val="none" w:sz="0" w:space="0" w:color="auto"/>
        <w:bottom w:val="none" w:sz="0" w:space="0" w:color="auto"/>
        <w:right w:val="none" w:sz="0" w:space="0" w:color="auto"/>
      </w:divBdr>
    </w:div>
    <w:div w:id="570433423">
      <w:bodyDiv w:val="1"/>
      <w:marLeft w:val="0"/>
      <w:marRight w:val="0"/>
      <w:marTop w:val="0"/>
      <w:marBottom w:val="0"/>
      <w:divBdr>
        <w:top w:val="none" w:sz="0" w:space="0" w:color="auto"/>
        <w:left w:val="none" w:sz="0" w:space="0" w:color="auto"/>
        <w:bottom w:val="none" w:sz="0" w:space="0" w:color="auto"/>
        <w:right w:val="none" w:sz="0" w:space="0" w:color="auto"/>
      </w:divBdr>
    </w:div>
    <w:div w:id="689377129">
      <w:bodyDiv w:val="1"/>
      <w:marLeft w:val="0"/>
      <w:marRight w:val="0"/>
      <w:marTop w:val="0"/>
      <w:marBottom w:val="0"/>
      <w:divBdr>
        <w:top w:val="none" w:sz="0" w:space="0" w:color="auto"/>
        <w:left w:val="none" w:sz="0" w:space="0" w:color="auto"/>
        <w:bottom w:val="none" w:sz="0" w:space="0" w:color="auto"/>
        <w:right w:val="none" w:sz="0" w:space="0" w:color="auto"/>
      </w:divBdr>
    </w:div>
    <w:div w:id="701638151">
      <w:bodyDiv w:val="1"/>
      <w:marLeft w:val="0"/>
      <w:marRight w:val="0"/>
      <w:marTop w:val="0"/>
      <w:marBottom w:val="0"/>
      <w:divBdr>
        <w:top w:val="none" w:sz="0" w:space="0" w:color="auto"/>
        <w:left w:val="none" w:sz="0" w:space="0" w:color="auto"/>
        <w:bottom w:val="none" w:sz="0" w:space="0" w:color="auto"/>
        <w:right w:val="none" w:sz="0" w:space="0" w:color="auto"/>
      </w:divBdr>
    </w:div>
    <w:div w:id="832841121">
      <w:bodyDiv w:val="1"/>
      <w:marLeft w:val="0"/>
      <w:marRight w:val="0"/>
      <w:marTop w:val="0"/>
      <w:marBottom w:val="0"/>
      <w:divBdr>
        <w:top w:val="none" w:sz="0" w:space="0" w:color="auto"/>
        <w:left w:val="none" w:sz="0" w:space="0" w:color="auto"/>
        <w:bottom w:val="none" w:sz="0" w:space="0" w:color="auto"/>
        <w:right w:val="none" w:sz="0" w:space="0" w:color="auto"/>
      </w:divBdr>
    </w:div>
    <w:div w:id="881287508">
      <w:bodyDiv w:val="1"/>
      <w:marLeft w:val="0"/>
      <w:marRight w:val="0"/>
      <w:marTop w:val="0"/>
      <w:marBottom w:val="0"/>
      <w:divBdr>
        <w:top w:val="none" w:sz="0" w:space="0" w:color="auto"/>
        <w:left w:val="none" w:sz="0" w:space="0" w:color="auto"/>
        <w:bottom w:val="none" w:sz="0" w:space="0" w:color="auto"/>
        <w:right w:val="none" w:sz="0" w:space="0" w:color="auto"/>
      </w:divBdr>
    </w:div>
    <w:div w:id="970357229">
      <w:bodyDiv w:val="1"/>
      <w:marLeft w:val="0"/>
      <w:marRight w:val="0"/>
      <w:marTop w:val="0"/>
      <w:marBottom w:val="0"/>
      <w:divBdr>
        <w:top w:val="none" w:sz="0" w:space="0" w:color="auto"/>
        <w:left w:val="none" w:sz="0" w:space="0" w:color="auto"/>
        <w:bottom w:val="none" w:sz="0" w:space="0" w:color="auto"/>
        <w:right w:val="none" w:sz="0" w:space="0" w:color="auto"/>
      </w:divBdr>
    </w:div>
    <w:div w:id="1005594101">
      <w:bodyDiv w:val="1"/>
      <w:marLeft w:val="0"/>
      <w:marRight w:val="0"/>
      <w:marTop w:val="0"/>
      <w:marBottom w:val="0"/>
      <w:divBdr>
        <w:top w:val="none" w:sz="0" w:space="0" w:color="auto"/>
        <w:left w:val="none" w:sz="0" w:space="0" w:color="auto"/>
        <w:bottom w:val="none" w:sz="0" w:space="0" w:color="auto"/>
        <w:right w:val="none" w:sz="0" w:space="0" w:color="auto"/>
      </w:divBdr>
    </w:div>
    <w:div w:id="1050300048">
      <w:bodyDiv w:val="1"/>
      <w:marLeft w:val="0"/>
      <w:marRight w:val="0"/>
      <w:marTop w:val="0"/>
      <w:marBottom w:val="0"/>
      <w:divBdr>
        <w:top w:val="none" w:sz="0" w:space="0" w:color="auto"/>
        <w:left w:val="none" w:sz="0" w:space="0" w:color="auto"/>
        <w:bottom w:val="none" w:sz="0" w:space="0" w:color="auto"/>
        <w:right w:val="none" w:sz="0" w:space="0" w:color="auto"/>
      </w:divBdr>
    </w:div>
    <w:div w:id="1066495249">
      <w:bodyDiv w:val="1"/>
      <w:marLeft w:val="0"/>
      <w:marRight w:val="0"/>
      <w:marTop w:val="0"/>
      <w:marBottom w:val="0"/>
      <w:divBdr>
        <w:top w:val="none" w:sz="0" w:space="0" w:color="auto"/>
        <w:left w:val="none" w:sz="0" w:space="0" w:color="auto"/>
        <w:bottom w:val="none" w:sz="0" w:space="0" w:color="auto"/>
        <w:right w:val="none" w:sz="0" w:space="0" w:color="auto"/>
      </w:divBdr>
    </w:div>
    <w:div w:id="1083986023">
      <w:bodyDiv w:val="1"/>
      <w:marLeft w:val="0"/>
      <w:marRight w:val="0"/>
      <w:marTop w:val="0"/>
      <w:marBottom w:val="0"/>
      <w:divBdr>
        <w:top w:val="none" w:sz="0" w:space="0" w:color="auto"/>
        <w:left w:val="none" w:sz="0" w:space="0" w:color="auto"/>
        <w:bottom w:val="none" w:sz="0" w:space="0" w:color="auto"/>
        <w:right w:val="none" w:sz="0" w:space="0" w:color="auto"/>
      </w:divBdr>
    </w:div>
    <w:div w:id="1095633074">
      <w:bodyDiv w:val="1"/>
      <w:marLeft w:val="0"/>
      <w:marRight w:val="0"/>
      <w:marTop w:val="0"/>
      <w:marBottom w:val="0"/>
      <w:divBdr>
        <w:top w:val="none" w:sz="0" w:space="0" w:color="auto"/>
        <w:left w:val="none" w:sz="0" w:space="0" w:color="auto"/>
        <w:bottom w:val="none" w:sz="0" w:space="0" w:color="auto"/>
        <w:right w:val="none" w:sz="0" w:space="0" w:color="auto"/>
      </w:divBdr>
    </w:div>
    <w:div w:id="1107432102">
      <w:bodyDiv w:val="1"/>
      <w:marLeft w:val="0"/>
      <w:marRight w:val="0"/>
      <w:marTop w:val="0"/>
      <w:marBottom w:val="0"/>
      <w:divBdr>
        <w:top w:val="none" w:sz="0" w:space="0" w:color="auto"/>
        <w:left w:val="none" w:sz="0" w:space="0" w:color="auto"/>
        <w:bottom w:val="none" w:sz="0" w:space="0" w:color="auto"/>
        <w:right w:val="none" w:sz="0" w:space="0" w:color="auto"/>
      </w:divBdr>
    </w:div>
    <w:div w:id="1136140041">
      <w:bodyDiv w:val="1"/>
      <w:marLeft w:val="0"/>
      <w:marRight w:val="0"/>
      <w:marTop w:val="0"/>
      <w:marBottom w:val="0"/>
      <w:divBdr>
        <w:top w:val="none" w:sz="0" w:space="0" w:color="auto"/>
        <w:left w:val="none" w:sz="0" w:space="0" w:color="auto"/>
        <w:bottom w:val="none" w:sz="0" w:space="0" w:color="auto"/>
        <w:right w:val="none" w:sz="0" w:space="0" w:color="auto"/>
      </w:divBdr>
    </w:div>
    <w:div w:id="1143080920">
      <w:bodyDiv w:val="1"/>
      <w:marLeft w:val="0"/>
      <w:marRight w:val="0"/>
      <w:marTop w:val="0"/>
      <w:marBottom w:val="0"/>
      <w:divBdr>
        <w:top w:val="none" w:sz="0" w:space="0" w:color="auto"/>
        <w:left w:val="none" w:sz="0" w:space="0" w:color="auto"/>
        <w:bottom w:val="none" w:sz="0" w:space="0" w:color="auto"/>
        <w:right w:val="none" w:sz="0" w:space="0" w:color="auto"/>
      </w:divBdr>
    </w:div>
    <w:div w:id="1145926375">
      <w:bodyDiv w:val="1"/>
      <w:marLeft w:val="0"/>
      <w:marRight w:val="0"/>
      <w:marTop w:val="0"/>
      <w:marBottom w:val="0"/>
      <w:divBdr>
        <w:top w:val="none" w:sz="0" w:space="0" w:color="auto"/>
        <w:left w:val="none" w:sz="0" w:space="0" w:color="auto"/>
        <w:bottom w:val="none" w:sz="0" w:space="0" w:color="auto"/>
        <w:right w:val="none" w:sz="0" w:space="0" w:color="auto"/>
      </w:divBdr>
    </w:div>
    <w:div w:id="1191262731">
      <w:bodyDiv w:val="1"/>
      <w:marLeft w:val="0"/>
      <w:marRight w:val="0"/>
      <w:marTop w:val="0"/>
      <w:marBottom w:val="0"/>
      <w:divBdr>
        <w:top w:val="none" w:sz="0" w:space="0" w:color="auto"/>
        <w:left w:val="none" w:sz="0" w:space="0" w:color="auto"/>
        <w:bottom w:val="none" w:sz="0" w:space="0" w:color="auto"/>
        <w:right w:val="none" w:sz="0" w:space="0" w:color="auto"/>
      </w:divBdr>
    </w:div>
    <w:div w:id="1207641618">
      <w:bodyDiv w:val="1"/>
      <w:marLeft w:val="0"/>
      <w:marRight w:val="0"/>
      <w:marTop w:val="0"/>
      <w:marBottom w:val="0"/>
      <w:divBdr>
        <w:top w:val="none" w:sz="0" w:space="0" w:color="auto"/>
        <w:left w:val="none" w:sz="0" w:space="0" w:color="auto"/>
        <w:bottom w:val="none" w:sz="0" w:space="0" w:color="auto"/>
        <w:right w:val="none" w:sz="0" w:space="0" w:color="auto"/>
      </w:divBdr>
    </w:div>
    <w:div w:id="1276668255">
      <w:bodyDiv w:val="1"/>
      <w:marLeft w:val="0"/>
      <w:marRight w:val="0"/>
      <w:marTop w:val="0"/>
      <w:marBottom w:val="0"/>
      <w:divBdr>
        <w:top w:val="none" w:sz="0" w:space="0" w:color="auto"/>
        <w:left w:val="none" w:sz="0" w:space="0" w:color="auto"/>
        <w:bottom w:val="none" w:sz="0" w:space="0" w:color="auto"/>
        <w:right w:val="none" w:sz="0" w:space="0" w:color="auto"/>
      </w:divBdr>
    </w:div>
    <w:div w:id="1351371415">
      <w:bodyDiv w:val="1"/>
      <w:marLeft w:val="0"/>
      <w:marRight w:val="0"/>
      <w:marTop w:val="0"/>
      <w:marBottom w:val="0"/>
      <w:divBdr>
        <w:top w:val="none" w:sz="0" w:space="0" w:color="auto"/>
        <w:left w:val="none" w:sz="0" w:space="0" w:color="auto"/>
        <w:bottom w:val="none" w:sz="0" w:space="0" w:color="auto"/>
        <w:right w:val="none" w:sz="0" w:space="0" w:color="auto"/>
      </w:divBdr>
    </w:div>
    <w:div w:id="1352754245">
      <w:bodyDiv w:val="1"/>
      <w:marLeft w:val="0"/>
      <w:marRight w:val="0"/>
      <w:marTop w:val="0"/>
      <w:marBottom w:val="0"/>
      <w:divBdr>
        <w:top w:val="none" w:sz="0" w:space="0" w:color="auto"/>
        <w:left w:val="none" w:sz="0" w:space="0" w:color="auto"/>
        <w:bottom w:val="none" w:sz="0" w:space="0" w:color="auto"/>
        <w:right w:val="none" w:sz="0" w:space="0" w:color="auto"/>
      </w:divBdr>
    </w:div>
    <w:div w:id="1380740953">
      <w:bodyDiv w:val="1"/>
      <w:marLeft w:val="0"/>
      <w:marRight w:val="0"/>
      <w:marTop w:val="0"/>
      <w:marBottom w:val="0"/>
      <w:divBdr>
        <w:top w:val="none" w:sz="0" w:space="0" w:color="auto"/>
        <w:left w:val="none" w:sz="0" w:space="0" w:color="auto"/>
        <w:bottom w:val="none" w:sz="0" w:space="0" w:color="auto"/>
        <w:right w:val="none" w:sz="0" w:space="0" w:color="auto"/>
      </w:divBdr>
    </w:div>
    <w:div w:id="1393237900">
      <w:bodyDiv w:val="1"/>
      <w:marLeft w:val="0"/>
      <w:marRight w:val="0"/>
      <w:marTop w:val="0"/>
      <w:marBottom w:val="0"/>
      <w:divBdr>
        <w:top w:val="none" w:sz="0" w:space="0" w:color="auto"/>
        <w:left w:val="none" w:sz="0" w:space="0" w:color="auto"/>
        <w:bottom w:val="none" w:sz="0" w:space="0" w:color="auto"/>
        <w:right w:val="none" w:sz="0" w:space="0" w:color="auto"/>
      </w:divBdr>
    </w:div>
    <w:div w:id="1413162799">
      <w:bodyDiv w:val="1"/>
      <w:marLeft w:val="0"/>
      <w:marRight w:val="0"/>
      <w:marTop w:val="0"/>
      <w:marBottom w:val="0"/>
      <w:divBdr>
        <w:top w:val="none" w:sz="0" w:space="0" w:color="auto"/>
        <w:left w:val="none" w:sz="0" w:space="0" w:color="auto"/>
        <w:bottom w:val="none" w:sz="0" w:space="0" w:color="auto"/>
        <w:right w:val="none" w:sz="0" w:space="0" w:color="auto"/>
      </w:divBdr>
    </w:div>
    <w:div w:id="1431392532">
      <w:bodyDiv w:val="1"/>
      <w:marLeft w:val="0"/>
      <w:marRight w:val="0"/>
      <w:marTop w:val="0"/>
      <w:marBottom w:val="0"/>
      <w:divBdr>
        <w:top w:val="none" w:sz="0" w:space="0" w:color="auto"/>
        <w:left w:val="none" w:sz="0" w:space="0" w:color="auto"/>
        <w:bottom w:val="none" w:sz="0" w:space="0" w:color="auto"/>
        <w:right w:val="none" w:sz="0" w:space="0" w:color="auto"/>
      </w:divBdr>
    </w:div>
    <w:div w:id="1431584083">
      <w:bodyDiv w:val="1"/>
      <w:marLeft w:val="0"/>
      <w:marRight w:val="0"/>
      <w:marTop w:val="0"/>
      <w:marBottom w:val="0"/>
      <w:divBdr>
        <w:top w:val="none" w:sz="0" w:space="0" w:color="auto"/>
        <w:left w:val="none" w:sz="0" w:space="0" w:color="auto"/>
        <w:bottom w:val="none" w:sz="0" w:space="0" w:color="auto"/>
        <w:right w:val="none" w:sz="0" w:space="0" w:color="auto"/>
      </w:divBdr>
    </w:div>
    <w:div w:id="1436243277">
      <w:bodyDiv w:val="1"/>
      <w:marLeft w:val="0"/>
      <w:marRight w:val="0"/>
      <w:marTop w:val="0"/>
      <w:marBottom w:val="0"/>
      <w:divBdr>
        <w:top w:val="none" w:sz="0" w:space="0" w:color="auto"/>
        <w:left w:val="none" w:sz="0" w:space="0" w:color="auto"/>
        <w:bottom w:val="none" w:sz="0" w:space="0" w:color="auto"/>
        <w:right w:val="none" w:sz="0" w:space="0" w:color="auto"/>
      </w:divBdr>
    </w:div>
    <w:div w:id="1523474992">
      <w:bodyDiv w:val="1"/>
      <w:marLeft w:val="0"/>
      <w:marRight w:val="0"/>
      <w:marTop w:val="0"/>
      <w:marBottom w:val="0"/>
      <w:divBdr>
        <w:top w:val="none" w:sz="0" w:space="0" w:color="auto"/>
        <w:left w:val="none" w:sz="0" w:space="0" w:color="auto"/>
        <w:bottom w:val="none" w:sz="0" w:space="0" w:color="auto"/>
        <w:right w:val="none" w:sz="0" w:space="0" w:color="auto"/>
      </w:divBdr>
    </w:div>
    <w:div w:id="1592200519">
      <w:bodyDiv w:val="1"/>
      <w:marLeft w:val="0"/>
      <w:marRight w:val="0"/>
      <w:marTop w:val="0"/>
      <w:marBottom w:val="0"/>
      <w:divBdr>
        <w:top w:val="none" w:sz="0" w:space="0" w:color="auto"/>
        <w:left w:val="none" w:sz="0" w:space="0" w:color="auto"/>
        <w:bottom w:val="none" w:sz="0" w:space="0" w:color="auto"/>
        <w:right w:val="none" w:sz="0" w:space="0" w:color="auto"/>
      </w:divBdr>
    </w:div>
    <w:div w:id="1608274992">
      <w:bodyDiv w:val="1"/>
      <w:marLeft w:val="0"/>
      <w:marRight w:val="0"/>
      <w:marTop w:val="0"/>
      <w:marBottom w:val="0"/>
      <w:divBdr>
        <w:top w:val="none" w:sz="0" w:space="0" w:color="auto"/>
        <w:left w:val="none" w:sz="0" w:space="0" w:color="auto"/>
        <w:bottom w:val="none" w:sz="0" w:space="0" w:color="auto"/>
        <w:right w:val="none" w:sz="0" w:space="0" w:color="auto"/>
      </w:divBdr>
    </w:div>
    <w:div w:id="1648244322">
      <w:bodyDiv w:val="1"/>
      <w:marLeft w:val="0"/>
      <w:marRight w:val="0"/>
      <w:marTop w:val="0"/>
      <w:marBottom w:val="0"/>
      <w:divBdr>
        <w:top w:val="none" w:sz="0" w:space="0" w:color="auto"/>
        <w:left w:val="none" w:sz="0" w:space="0" w:color="auto"/>
        <w:bottom w:val="none" w:sz="0" w:space="0" w:color="auto"/>
        <w:right w:val="none" w:sz="0" w:space="0" w:color="auto"/>
      </w:divBdr>
    </w:div>
    <w:div w:id="1682392069">
      <w:bodyDiv w:val="1"/>
      <w:marLeft w:val="0"/>
      <w:marRight w:val="0"/>
      <w:marTop w:val="0"/>
      <w:marBottom w:val="0"/>
      <w:divBdr>
        <w:top w:val="none" w:sz="0" w:space="0" w:color="auto"/>
        <w:left w:val="none" w:sz="0" w:space="0" w:color="auto"/>
        <w:bottom w:val="none" w:sz="0" w:space="0" w:color="auto"/>
        <w:right w:val="none" w:sz="0" w:space="0" w:color="auto"/>
      </w:divBdr>
    </w:div>
    <w:div w:id="1800952494">
      <w:bodyDiv w:val="1"/>
      <w:marLeft w:val="0"/>
      <w:marRight w:val="0"/>
      <w:marTop w:val="0"/>
      <w:marBottom w:val="0"/>
      <w:divBdr>
        <w:top w:val="none" w:sz="0" w:space="0" w:color="auto"/>
        <w:left w:val="none" w:sz="0" w:space="0" w:color="auto"/>
        <w:bottom w:val="none" w:sz="0" w:space="0" w:color="auto"/>
        <w:right w:val="none" w:sz="0" w:space="0" w:color="auto"/>
      </w:divBdr>
    </w:div>
    <w:div w:id="1960915198">
      <w:bodyDiv w:val="1"/>
      <w:marLeft w:val="0"/>
      <w:marRight w:val="0"/>
      <w:marTop w:val="0"/>
      <w:marBottom w:val="0"/>
      <w:divBdr>
        <w:top w:val="none" w:sz="0" w:space="0" w:color="auto"/>
        <w:left w:val="none" w:sz="0" w:space="0" w:color="auto"/>
        <w:bottom w:val="none" w:sz="0" w:space="0" w:color="auto"/>
        <w:right w:val="none" w:sz="0" w:space="0" w:color="auto"/>
      </w:divBdr>
    </w:div>
    <w:div w:id="1974827597">
      <w:bodyDiv w:val="1"/>
      <w:marLeft w:val="0"/>
      <w:marRight w:val="0"/>
      <w:marTop w:val="0"/>
      <w:marBottom w:val="0"/>
      <w:divBdr>
        <w:top w:val="none" w:sz="0" w:space="0" w:color="auto"/>
        <w:left w:val="none" w:sz="0" w:space="0" w:color="auto"/>
        <w:bottom w:val="none" w:sz="0" w:space="0" w:color="auto"/>
        <w:right w:val="none" w:sz="0" w:space="0" w:color="auto"/>
      </w:divBdr>
    </w:div>
    <w:div w:id="2129546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drupaladmin.neighborworks.org/About-Us/Business-Opportunities/Current-Business-Opportunities"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6865797-E1CB-4A07-84A7-9E81A3791468}">
    <t:Anchor>
      <t:Comment id="884584202"/>
    </t:Anchor>
    <t:History>
      <t:Event id="{2BC843BE-3C0D-4CBD-9CAD-B5BB4436EC1D}" time="2026-10-29T17:55:10.752Z">
        <t:Attribution userId="S::hmin@nw.org::4c33cfcc-59dd-4d85-8924-85dd87ea7685" userProvider="AD" userName="Hui Min"/>
        <t:Anchor>
          <t:Comment id="884584202"/>
        </t:Anchor>
        <t:Create/>
      </t:Event>
      <t:Event id="{52337AA6-93B0-4553-BA9E-6DE3DEE73826}" time="2026-10-29T17:55:10.752Z">
        <t:Attribution userId="S::hmin@nw.org::4c33cfcc-59dd-4d85-8924-85dd87ea7685" userProvider="AD" userName="Hui Min"/>
        <t:Anchor>
          <t:Comment id="884584202"/>
        </t:Anchor>
        <t:Assign userId="S::BCooley@nw.org::0437da1d-a373-46a8-b957-250e52c1a524" userProvider="AD" userName="Brenna Cooley"/>
      </t:Event>
      <t:Event id="{BC1CFDA0-3EB3-417B-B713-0375D978F091}" time="2026-10-29T17:55:10.752Z">
        <t:Attribution userId="S::hmin@nw.org::4c33cfcc-59dd-4d85-8924-85dd87ea7685" userProvider="AD" userName="Hui Min"/>
        <t:Anchor>
          <t:Comment id="884584202"/>
        </t:Anchor>
        <t:SetTitle title="@Brenna Cooley, please decide on 26 &amp; 27 and respond directly in the document. Thanks"/>
      </t:Event>
      <t:Event id="{B17D66BB-2701-49A9-BBE4-58DE55A78E17}" time="2026-10-29T18:16:58.367Z">
        <t:Attribution userId="S::bcooley@nw.org::0437da1d-a373-46a8-b957-250e52c1a524" userProvider="AD" userName="Brenna Cooley"/>
        <t:Progress percentComplete="100"/>
      </t:Event>
    </t:History>
  </t:Task>
  <t:Task id="{A295D393-EA2A-4DC8-BED7-19A8B37EC8E1}">
    <t:Anchor>
      <t:Comment id="1261327840"/>
    </t:Anchor>
    <t:History>
      <t:Event id="{08491CA2-9CD2-4247-8B48-8F2DF7397328}" time="2026-10-29T17:56:49.149Z">
        <t:Attribution userId="S::hmin@nw.org::4c33cfcc-59dd-4d85-8924-85dd87ea7685" userProvider="AD" userName="Hui Min"/>
        <t:Anchor>
          <t:Comment id="1261327840"/>
        </t:Anchor>
        <t:Create/>
      </t:Event>
      <t:Event id="{D4E61149-F4B2-405B-AFCB-152FF5A48E23}" time="2026-10-29T17:56:49.149Z">
        <t:Attribution userId="S::hmin@nw.org::4c33cfcc-59dd-4d85-8924-85dd87ea7685" userProvider="AD" userName="Hui Min"/>
        <t:Anchor>
          <t:Comment id="1261327840"/>
        </t:Anchor>
        <t:Assign userId="S::BCooley@nw.org::0437da1d-a373-46a8-b957-250e52c1a524" userProvider="AD" userName="Brenna Cooley"/>
      </t:Event>
      <t:Event id="{B67BBA73-BC99-411D-AF5C-D3A31A6D057C}" time="2026-10-29T17:56:49.149Z">
        <t:Attribution userId="S::hmin@nw.org::4c33cfcc-59dd-4d85-8924-85dd87ea7685" userProvider="AD" userName="Hui Min"/>
        <t:Anchor>
          <t:Comment id="1261327840"/>
        </t:Anchor>
        <t:SetTitle title="@Brenna Cooley could you answer 31 and 32 based on how we currently pay our faculty?"/>
      </t:Event>
      <t:Event id="{71EB700D-CC56-497D-A278-80FCD09F710D}" time="2026-10-29T18:27:04.11Z">
        <t:Attribution userId="S::bcooley@nw.org::0437da1d-a373-46a8-b957-250e52c1a524" userProvider="AD" userName="Brenna Coole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DBB9937447B47888D33DC1340C394" ma:contentTypeVersion="22" ma:contentTypeDescription="Create a new document." ma:contentTypeScope="" ma:versionID="ea0eb25afa93888851b39ac571e21e9e">
  <xsd:schema xmlns:xsd="http://www.w3.org/2001/XMLSchema" xmlns:xs="http://www.w3.org/2001/XMLSchema" xmlns:p="http://schemas.microsoft.com/office/2006/metadata/properties" xmlns:ns2="7503d967-40e3-4b1b-85f3-83be7f3ba27d" xmlns:ns3="67be009a-22f2-4141-a778-6ba9c845e716" targetNamespace="http://schemas.microsoft.com/office/2006/metadata/properties" ma:root="true" ma:fieldsID="8f5213e94488404687b286dd7f09d305" ns2:_="" ns3:_="">
    <xsd:import namespace="7503d967-40e3-4b1b-85f3-83be7f3ba27d"/>
    <xsd:import namespace="67be009a-22f2-4141-a778-6ba9c845e7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3:SharedWithUsers" minOccurs="0"/>
                <xsd:element ref="ns3:SharedWithDetails" minOccurs="0"/>
                <xsd:element ref="ns2:Events" minOccurs="0"/>
                <xsd:element ref="ns2:MediaServiceBillingMetadata" minOccurs="0"/>
                <xsd:element ref="ns2:Training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3d967-40e3-4b1b-85f3-83be7f3ba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e966ae9-4243-463e-8314-2acc92e5f71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vents" ma:index="23" nillable="true" ma:displayName="Events" ma:format="Dropdown" ma:internalName="Events">
      <xsd:complexType>
        <xsd:complexContent>
          <xsd:extension base="dms:MultiChoice">
            <xsd:sequence>
              <xsd:element name="Value" maxOccurs="unbounded" minOccurs="0" nillable="true">
                <xsd:simpleType>
                  <xsd:restriction base="dms:Choice">
                    <xsd:enumeration value="Philly NTI"/>
                    <xsd:enumeration value="NOLA NTI"/>
                    <xsd:enumeration value="Ongoing Online"/>
                    <xsd:enumeration value="May 2025 VTI"/>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element name="TrainingDescription" ma:index="25" nillable="true" ma:displayName="Training Description" ma:format="Dropdown" ma:internalName="Training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be009a-22f2-4141-a778-6ba9c845e7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a24f80-d50f-4b01-9a18-e57f9e51fde1}" ma:internalName="TaxCatchAll" ma:showField="CatchAllData" ma:web="67be009a-22f2-4141-a778-6ba9c845e71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PwDY6tfWZW2Gl4TI90/fa1zgdHg==">AMUW2mWXhEIL9ZRd+ei0iUrxKQo+MOL9AsH+v0ZrWVHpKRYL17WdArdqJBFcyIBEZMu4x+OEGvZ1IRgi+2AUv4MryylJp+ALNcB5xAkeA4wXWgp8B68hmt0=</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rainingDescription xmlns="7503d967-40e3-4b1b-85f3-83be7f3ba27d" xsi:nil="true"/>
    <SharedWithUsers xmlns="67be009a-22f2-4141-a778-6ba9c845e716">
      <UserInfo>
        <DisplayName/>
        <AccountId xsi:nil="true"/>
        <AccountType/>
      </UserInfo>
    </SharedWithUsers>
    <lcf76f155ced4ddcb4097134ff3c332f xmlns="7503d967-40e3-4b1b-85f3-83be7f3ba27d">
      <Terms xmlns="http://schemas.microsoft.com/office/infopath/2007/PartnerControls"/>
    </lcf76f155ced4ddcb4097134ff3c332f>
    <TaxCatchAll xmlns="67be009a-22f2-4141-a778-6ba9c845e716" xsi:nil="true"/>
    <Events xmlns="7503d967-40e3-4b1b-85f3-83be7f3ba2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C44ED-A258-4E4B-84D2-F07469844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3d967-40e3-4b1b-85f3-83be7f3ba27d"/>
    <ds:schemaRef ds:uri="67be009a-22f2-4141-a778-6ba9c845e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5CB13B2-ACFB-41B8-8525-B3454C19FBDB}">
  <ds:schemaRefs>
    <ds:schemaRef ds:uri="http://schemas.microsoft.com/office/2006/metadata/properties"/>
    <ds:schemaRef ds:uri="http://schemas.microsoft.com/office/infopath/2007/PartnerControls"/>
    <ds:schemaRef ds:uri="7503d967-40e3-4b1b-85f3-83be7f3ba27d"/>
    <ds:schemaRef ds:uri="67be009a-22f2-4141-a778-6ba9c845e716"/>
  </ds:schemaRefs>
</ds:datastoreItem>
</file>

<file path=customXml/itemProps4.xml><?xml version="1.0" encoding="utf-8"?>
<ds:datastoreItem xmlns:ds="http://schemas.openxmlformats.org/officeDocument/2006/customXml" ds:itemID="{B146F71B-7F45-4D93-8407-6FBB2A572C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3288</Words>
  <Characters>18746</Characters>
  <Application>Microsoft Office Word</Application>
  <DocSecurity>0</DocSecurity>
  <Lines>156</Lines>
  <Paragraphs>43</Paragraphs>
  <ScaleCrop>false</ScaleCrop>
  <Company/>
  <LinksUpToDate>false</LinksUpToDate>
  <CharactersWithSpaces>21991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Marva Oxley</dc:creator>
  <cp:lastModifiedBy>Tiera Day</cp:lastModifiedBy>
  <cp:revision>5</cp:revision>
  <dcterms:created xsi:type="dcterms:W3CDTF">2026-10-27T12:16:00Z</dcterms:created>
  <dcterms:modified xsi:type="dcterms:W3CDTF">2026-11-02T21:43:00Z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0x0101008A3DBB9937447B47888D33DC1340C394</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{"FileActivityType":"6","FileActivityTimeStamp":"2026-10-27T14:43:42.830Z","FileActivityUsersOnPage":[{"DisplayName":"Tiera Day","Id":"tday@nw.org"}],"FileActivityNavigationId":null}</vt:lpwstr>
  </property>
  <property fmtid="{D5CDD505-2E9C-101B-9397-08002B2CF9AE}" pid="9" name="TriggerFlowInfo">
    <vt:lpwstr/>
  </property>
</Properties>
</file>