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F49E5" w14:textId="55D80084" w:rsidR="004E17B7" w:rsidRPr="00EF1DD7" w:rsidRDefault="00AD11A8">
      <w:pPr>
        <w:spacing w:after="120"/>
        <w:ind w:left="720" w:hanging="720"/>
        <w:jc w:val="center"/>
        <w:rPr>
          <w:rFonts w:asciiTheme="minorHAnsi" w:eastAsia="Times New Roman" w:hAnsiTheme="minorHAnsi" w:cstheme="minorHAnsi"/>
          <w:b/>
        </w:rPr>
      </w:pPr>
      <w:r w:rsidRPr="00EF1DD7">
        <w:rPr>
          <w:rFonts w:asciiTheme="minorHAnsi" w:eastAsia="Times New Roman" w:hAnsiTheme="minorHAnsi" w:cstheme="minorHAnsi"/>
          <w:b/>
        </w:rPr>
        <w:t xml:space="preserve">Questions </w:t>
      </w:r>
      <w:r w:rsidR="00D4186B" w:rsidRPr="00EF1DD7">
        <w:rPr>
          <w:rFonts w:asciiTheme="minorHAnsi" w:eastAsia="Times New Roman" w:hAnsiTheme="minorHAnsi" w:cstheme="minorHAnsi"/>
          <w:b/>
        </w:rPr>
        <w:t>and Answers</w:t>
      </w:r>
      <w:r w:rsidR="005E297E" w:rsidRPr="00EF1DD7">
        <w:rPr>
          <w:rFonts w:asciiTheme="minorHAnsi" w:eastAsia="Times New Roman" w:hAnsiTheme="minorHAnsi" w:cstheme="minorHAnsi"/>
          <w:b/>
        </w:rPr>
        <w:t xml:space="preserve"> </w:t>
      </w:r>
    </w:p>
    <w:p w14:paraId="7C0DC092" w14:textId="78251A73" w:rsidR="00125808" w:rsidRDefault="00AA10D0" w:rsidP="002958A3">
      <w:pPr>
        <w:spacing w:after="120"/>
        <w:ind w:left="720" w:hanging="720"/>
        <w:jc w:val="center"/>
        <w:rPr>
          <w:rFonts w:asciiTheme="minorHAnsi" w:eastAsia="Times New Roman" w:hAnsiTheme="minorHAnsi" w:cstheme="minorHAnsi"/>
          <w:b/>
          <w:color w:val="231F20"/>
        </w:rPr>
      </w:pPr>
      <w:r w:rsidRPr="00EF1DD7">
        <w:rPr>
          <w:rFonts w:asciiTheme="minorHAnsi" w:eastAsia="Times New Roman" w:hAnsiTheme="minorHAnsi" w:cstheme="minorHAnsi"/>
          <w:b/>
          <w:color w:val="231F20"/>
        </w:rPr>
        <w:t>RFP-2</w:t>
      </w:r>
      <w:r w:rsidR="001E6938">
        <w:rPr>
          <w:rFonts w:asciiTheme="minorHAnsi" w:eastAsia="Times New Roman" w:hAnsiTheme="minorHAnsi" w:cstheme="minorHAnsi"/>
          <w:b/>
          <w:color w:val="231F20"/>
        </w:rPr>
        <w:t>6-0029</w:t>
      </w:r>
      <w:r w:rsidR="002958A3">
        <w:rPr>
          <w:rFonts w:asciiTheme="minorHAnsi" w:eastAsia="Times New Roman" w:hAnsiTheme="minorHAnsi" w:cstheme="minorHAnsi"/>
          <w:b/>
          <w:color w:val="231F20"/>
        </w:rPr>
        <w:t xml:space="preserve"> </w:t>
      </w:r>
      <w:r w:rsidR="001E6938">
        <w:rPr>
          <w:rFonts w:asciiTheme="minorHAnsi" w:eastAsia="Times New Roman" w:hAnsiTheme="minorHAnsi" w:cstheme="minorHAnsi"/>
          <w:b/>
          <w:color w:val="231F20"/>
        </w:rPr>
        <w:t>Success Measure RFP</w:t>
      </w:r>
    </w:p>
    <w:p w14:paraId="34BE9105" w14:textId="2D5CE34E" w:rsidR="00125808" w:rsidRPr="002958A3" w:rsidRDefault="003D601E" w:rsidP="002958A3">
      <w:pPr>
        <w:spacing w:after="120"/>
        <w:ind w:left="720" w:hanging="720"/>
        <w:jc w:val="center"/>
        <w:rPr>
          <w:rFonts w:asciiTheme="minorHAnsi" w:eastAsia="Times New Roman" w:hAnsiTheme="minorHAnsi" w:cstheme="minorHAnsi"/>
          <w:bCs/>
          <w:color w:val="231F20"/>
        </w:rPr>
      </w:pPr>
      <w:r>
        <w:rPr>
          <w:rFonts w:asciiTheme="minorHAnsi" w:eastAsia="Times New Roman" w:hAnsiTheme="minorHAnsi" w:cstheme="minorHAnsi"/>
          <w:b/>
          <w:color w:val="231F20"/>
        </w:rPr>
        <w:t>10/16/2026</w:t>
      </w:r>
    </w:p>
    <w:p w14:paraId="2041DEFC" w14:textId="77777777" w:rsidR="003C7C2A" w:rsidRPr="00EF1DD7" w:rsidRDefault="003C7C2A">
      <w:pPr>
        <w:rPr>
          <w:rFonts w:asciiTheme="minorHAnsi" w:eastAsia="Times New Roman" w:hAnsiTheme="minorHAnsi" w:cstheme="minorHAnsi"/>
        </w:rPr>
      </w:pPr>
    </w:p>
    <w:tbl>
      <w:tblPr>
        <w:tblW w:w="101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212"/>
        <w:gridCol w:w="4950"/>
      </w:tblGrid>
      <w:tr w:rsidR="00125808" w:rsidRPr="00EF1DD7" w14:paraId="525C0D85" w14:textId="77777777" w:rsidTr="398504A0">
        <w:trPr>
          <w:trHeight w:val="432"/>
          <w:tblHeader/>
        </w:trPr>
        <w:tc>
          <w:tcPr>
            <w:tcW w:w="5212" w:type="dxa"/>
            <w:shd w:val="clear" w:color="auto" w:fill="BDD6EE" w:themeFill="accent5" w:themeFillTint="66"/>
            <w:tcMar>
              <w:top w:w="0" w:type="dxa"/>
              <w:left w:w="108" w:type="dxa"/>
              <w:bottom w:w="0" w:type="dxa"/>
              <w:right w:w="108" w:type="dxa"/>
            </w:tcMar>
            <w:vAlign w:val="center"/>
            <w:hideMark/>
          </w:tcPr>
          <w:p w14:paraId="15021819" w14:textId="77777777" w:rsidR="00125808" w:rsidRPr="00EF1DD7" w:rsidRDefault="00125808" w:rsidP="00C90EF1">
            <w:pPr>
              <w:jc w:val="center"/>
              <w:rPr>
                <w:rFonts w:asciiTheme="minorHAnsi" w:eastAsia="Times New Roman" w:hAnsiTheme="minorHAnsi" w:cstheme="minorHAnsi"/>
                <w:b/>
              </w:rPr>
            </w:pPr>
            <w:r w:rsidRPr="00EF1DD7">
              <w:rPr>
                <w:rFonts w:asciiTheme="minorHAnsi" w:eastAsia="Times New Roman" w:hAnsiTheme="minorHAnsi" w:cstheme="minorHAnsi"/>
                <w:b/>
              </w:rPr>
              <w:t>Question</w:t>
            </w:r>
          </w:p>
        </w:tc>
        <w:tc>
          <w:tcPr>
            <w:tcW w:w="4950" w:type="dxa"/>
            <w:shd w:val="clear" w:color="auto" w:fill="BDD6EE" w:themeFill="accent5" w:themeFillTint="66"/>
            <w:tcMar>
              <w:top w:w="0" w:type="dxa"/>
              <w:left w:w="108" w:type="dxa"/>
              <w:bottom w:w="0" w:type="dxa"/>
              <w:right w:w="108" w:type="dxa"/>
            </w:tcMar>
            <w:vAlign w:val="center"/>
            <w:hideMark/>
          </w:tcPr>
          <w:p w14:paraId="0C6323AB" w14:textId="02CF59D7" w:rsidR="00125808" w:rsidRPr="00EF1DD7" w:rsidRDefault="00125808" w:rsidP="00C90EF1">
            <w:pPr>
              <w:jc w:val="center"/>
              <w:rPr>
                <w:rFonts w:asciiTheme="minorHAnsi" w:eastAsia="Times New Roman" w:hAnsiTheme="minorHAnsi" w:cstheme="minorHAnsi"/>
                <w:b/>
              </w:rPr>
            </w:pPr>
            <w:r w:rsidRPr="00EF1DD7">
              <w:rPr>
                <w:rFonts w:asciiTheme="minorHAnsi" w:eastAsia="Times New Roman" w:hAnsiTheme="minorHAnsi" w:cstheme="minorHAnsi"/>
                <w:b/>
              </w:rPr>
              <w:t>Answer</w:t>
            </w:r>
          </w:p>
        </w:tc>
      </w:tr>
      <w:tr w:rsidR="001E6938" w:rsidRPr="00EF1DD7" w14:paraId="4F3688C3" w14:textId="77777777" w:rsidTr="398504A0">
        <w:tc>
          <w:tcPr>
            <w:tcW w:w="5212" w:type="dxa"/>
            <w:tcMar>
              <w:top w:w="0" w:type="dxa"/>
              <w:left w:w="108" w:type="dxa"/>
              <w:bottom w:w="0" w:type="dxa"/>
              <w:right w:w="108" w:type="dxa"/>
            </w:tcMar>
          </w:tcPr>
          <w:p w14:paraId="5FDD53FF" w14:textId="17E5A7F6"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For consultants selected through this RFP, does an award guarantee any minimum level of work? How do you anticipate matching selected consultants with individual projects or assignments during the contract period?</w:t>
            </w:r>
          </w:p>
        </w:tc>
        <w:tc>
          <w:tcPr>
            <w:tcW w:w="4950" w:type="dxa"/>
            <w:tcMar>
              <w:top w:w="0" w:type="dxa"/>
              <w:left w:w="108" w:type="dxa"/>
              <w:bottom w:w="0" w:type="dxa"/>
              <w:right w:w="108" w:type="dxa"/>
            </w:tcMar>
          </w:tcPr>
          <w:p w14:paraId="3FA59AF5" w14:textId="71528152" w:rsidR="001E6938" w:rsidRPr="006C2E5E" w:rsidRDefault="00D86AE9" w:rsidP="001E6938">
            <w:pPr>
              <w:rPr>
                <w:rFonts w:asciiTheme="minorHAnsi" w:hAnsiTheme="minorHAnsi" w:cstheme="minorHAnsi"/>
              </w:rPr>
            </w:pPr>
            <w:r w:rsidRPr="006C2E5E">
              <w:rPr>
                <w:rFonts w:asciiTheme="minorHAnsi" w:hAnsiTheme="minorHAnsi" w:cstheme="minorHAnsi"/>
              </w:rPr>
              <w:t xml:space="preserve">No, </w:t>
            </w:r>
            <w:r w:rsidR="00F6541C" w:rsidRPr="006C2E5E">
              <w:rPr>
                <w:rFonts w:asciiTheme="minorHAnsi" w:hAnsiTheme="minorHAnsi" w:cstheme="minorHAnsi"/>
              </w:rPr>
              <w:t>an award does not guarantee a minimum level of wor</w:t>
            </w:r>
            <w:r w:rsidR="009A1B28" w:rsidRPr="006C2E5E">
              <w:rPr>
                <w:rFonts w:asciiTheme="minorHAnsi" w:hAnsiTheme="minorHAnsi" w:cstheme="minorHAnsi"/>
              </w:rPr>
              <w:t xml:space="preserve">k. </w:t>
            </w:r>
            <w:r w:rsidR="009A1B28" w:rsidRPr="006C2E5E">
              <w:rPr>
                <w:rFonts w:asciiTheme="minorHAnsi" w:eastAsia="Times New Roman" w:hAnsiTheme="minorHAnsi" w:cstheme="minorHAnsi"/>
              </w:rPr>
              <w:t>If awarded, Success Measures evaluation staff may schedule time to learn more about the consultant. This information helps Success Measures match consultants to project opportunities according to each consultant’s expertise and skillset, content knowledge, interests and, occasionally, location.  When a specific project opportunity arises, Success Measures reviews its roster of available consultants and will reach out to those with the appropriate skillset/experience. Consultants always have the opportunity to decline a project based on current workload or any other reason, without penalty. Declining an invitation to work on a project will not impact whether you will be invited to another appropriately matched project in the future.</w:t>
            </w:r>
          </w:p>
        </w:tc>
      </w:tr>
      <w:tr w:rsidR="001E6938" w:rsidRPr="00EF1DD7" w14:paraId="3BB79960" w14:textId="77777777" w:rsidTr="398504A0">
        <w:tc>
          <w:tcPr>
            <w:tcW w:w="5212" w:type="dxa"/>
            <w:tcMar>
              <w:top w:w="0" w:type="dxa"/>
              <w:left w:w="108" w:type="dxa"/>
              <w:bottom w:w="0" w:type="dxa"/>
              <w:right w:w="108" w:type="dxa"/>
            </w:tcMar>
          </w:tcPr>
          <w:p w14:paraId="2D2B42EA" w14:textId="14F0C74B"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Within Category 1, should applicants identify the specific capability areas in which they propose to provide services (e.g., participatory evaluation, technical assistance and learning support, evaluation design), or are applicants expected to demonstrate capacity across all areas listed?</w:t>
            </w:r>
          </w:p>
        </w:tc>
        <w:tc>
          <w:tcPr>
            <w:tcW w:w="4950" w:type="dxa"/>
            <w:tcMar>
              <w:top w:w="0" w:type="dxa"/>
              <w:left w:w="108" w:type="dxa"/>
              <w:bottom w:w="0" w:type="dxa"/>
              <w:right w:w="108" w:type="dxa"/>
            </w:tcMar>
          </w:tcPr>
          <w:p w14:paraId="6FB2DC3A" w14:textId="579D722D" w:rsidR="001E6938" w:rsidRPr="006C2E5E" w:rsidRDefault="46DB7352" w:rsidP="1AC32881">
            <w:pPr>
              <w:rPr>
                <w:rFonts w:asciiTheme="minorHAnsi" w:hAnsiTheme="minorHAnsi" w:cstheme="minorHAnsi"/>
              </w:rPr>
            </w:pPr>
            <w:r w:rsidRPr="006C2E5E">
              <w:rPr>
                <w:rFonts w:asciiTheme="minorHAnsi" w:hAnsiTheme="minorHAnsi" w:cstheme="minorHAnsi"/>
              </w:rPr>
              <w:t xml:space="preserve">Applicants should identify the specific capability areas they propose to provide services. Applicants are assumed to have </w:t>
            </w:r>
            <w:r w:rsidR="25EE0BC4" w:rsidRPr="006C2E5E">
              <w:rPr>
                <w:rFonts w:asciiTheme="minorHAnsi" w:hAnsiTheme="minorHAnsi" w:cstheme="minorHAnsi"/>
              </w:rPr>
              <w:t xml:space="preserve">experience in a subset of areas with Category 1. </w:t>
            </w:r>
          </w:p>
        </w:tc>
      </w:tr>
      <w:tr w:rsidR="001E6938" w:rsidRPr="00EF1DD7" w14:paraId="7B47370A" w14:textId="77777777" w:rsidTr="398504A0">
        <w:tc>
          <w:tcPr>
            <w:tcW w:w="5212" w:type="dxa"/>
            <w:tcMar>
              <w:top w:w="0" w:type="dxa"/>
              <w:left w:w="108" w:type="dxa"/>
              <w:bottom w:w="0" w:type="dxa"/>
              <w:right w:w="108" w:type="dxa"/>
            </w:tcMar>
          </w:tcPr>
          <w:p w14:paraId="1F1A1D51" w14:textId="411B1447"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The RFP requests daily rates as well as a total contract value/not-to-exceed amount. Because a specific level of effort is not identified, could you provide guidance on how applicants should determine the proposed not-to-exceed amount?</w:t>
            </w:r>
          </w:p>
        </w:tc>
        <w:tc>
          <w:tcPr>
            <w:tcW w:w="4950" w:type="dxa"/>
            <w:tcMar>
              <w:top w:w="0" w:type="dxa"/>
              <w:left w:w="108" w:type="dxa"/>
              <w:bottom w:w="0" w:type="dxa"/>
              <w:right w:w="108" w:type="dxa"/>
            </w:tcMar>
          </w:tcPr>
          <w:p w14:paraId="67BDF32E" w14:textId="5F88FF4D" w:rsidR="005745EF" w:rsidRPr="00C41B92" w:rsidRDefault="005745EF" w:rsidP="005745EF">
            <w:pPr>
              <w:spacing w:line="259" w:lineRule="auto"/>
              <w:contextualSpacing/>
              <w:rPr>
                <w:rFonts w:asciiTheme="minorHAnsi" w:hAnsiTheme="minorHAnsi" w:cstheme="minorHAnsi"/>
              </w:rPr>
            </w:pPr>
            <w:r w:rsidRPr="00C41B92">
              <w:rPr>
                <w:rFonts w:asciiTheme="minorHAnsi" w:hAnsiTheme="minorHAnsi" w:cstheme="minorHAnsi"/>
              </w:rPr>
              <w:t>Offerors should provide only their proposed daily rate. A total not-to-exceed amount is not required.</w:t>
            </w:r>
            <w:r w:rsidR="00C41B92" w:rsidRPr="00C41B92">
              <w:rPr>
                <w:rFonts w:asciiTheme="minorHAnsi" w:hAnsiTheme="minorHAnsi" w:cstheme="minorHAnsi"/>
              </w:rPr>
              <w:t xml:space="preserve"> </w:t>
            </w:r>
          </w:p>
          <w:p w14:paraId="47E36FDC" w14:textId="141CEF13" w:rsidR="0054182A" w:rsidRPr="005745EF" w:rsidRDefault="0054182A" w:rsidP="005745EF">
            <w:pPr>
              <w:spacing w:line="259" w:lineRule="auto"/>
              <w:contextualSpacing/>
              <w:rPr>
                <w:rFonts w:asciiTheme="minorHAnsi" w:hAnsiTheme="minorHAnsi" w:cstheme="minorHAnsi"/>
                <w:highlight w:val="yellow"/>
              </w:rPr>
            </w:pPr>
          </w:p>
        </w:tc>
      </w:tr>
      <w:tr w:rsidR="001E6938" w:rsidRPr="00EF1DD7" w14:paraId="68C47CB3" w14:textId="77777777" w:rsidTr="398504A0">
        <w:tc>
          <w:tcPr>
            <w:tcW w:w="5212" w:type="dxa"/>
            <w:tcMar>
              <w:top w:w="0" w:type="dxa"/>
              <w:left w:w="108" w:type="dxa"/>
              <w:bottom w:w="0" w:type="dxa"/>
              <w:right w:w="108" w:type="dxa"/>
            </w:tcMar>
          </w:tcPr>
          <w:p w14:paraId="76177EF4" w14:textId="220B77FB"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May firms propose selected roles or service categories? If so, how will proposals be evaluated against criteria covering services outside the categories proposed?</w:t>
            </w:r>
          </w:p>
        </w:tc>
        <w:tc>
          <w:tcPr>
            <w:tcW w:w="4950" w:type="dxa"/>
            <w:tcMar>
              <w:top w:w="0" w:type="dxa"/>
              <w:left w:w="108" w:type="dxa"/>
              <w:bottom w:w="0" w:type="dxa"/>
              <w:right w:w="108" w:type="dxa"/>
            </w:tcMar>
          </w:tcPr>
          <w:p w14:paraId="7E6E4E73" w14:textId="318585CE" w:rsidR="00DB00E4" w:rsidRPr="006C2E5E" w:rsidRDefault="14394415" w:rsidP="398504A0">
            <w:pPr>
              <w:spacing w:line="259" w:lineRule="auto"/>
            </w:pPr>
            <w:r w:rsidRPr="398504A0">
              <w:rPr>
                <w:rFonts w:asciiTheme="minorHAnsi" w:hAnsiTheme="minorHAnsi" w:cstheme="minorBidi"/>
              </w:rPr>
              <w:t>T</w:t>
            </w:r>
            <w:r w:rsidR="1BB86419" w:rsidRPr="398504A0">
              <w:rPr>
                <w:rFonts w:asciiTheme="minorHAnsi" w:hAnsiTheme="minorHAnsi" w:cstheme="minorBidi"/>
              </w:rPr>
              <w:t xml:space="preserve">he Scope of Work in the RFP outlines the multiple areas of skills and experience we are seeking. </w:t>
            </w:r>
            <w:r w:rsidRPr="398504A0">
              <w:rPr>
                <w:rFonts w:asciiTheme="minorHAnsi" w:hAnsiTheme="minorHAnsi" w:cstheme="minorBidi"/>
              </w:rPr>
              <w:t xml:space="preserve">Only responses within those categories will be </w:t>
            </w:r>
            <w:r w:rsidR="2EB2F331" w:rsidRPr="398504A0">
              <w:rPr>
                <w:rFonts w:asciiTheme="minorHAnsi" w:hAnsiTheme="minorHAnsi" w:cstheme="minorBidi"/>
              </w:rPr>
              <w:t xml:space="preserve">evaluated </w:t>
            </w:r>
            <w:r w:rsidRPr="398504A0">
              <w:rPr>
                <w:rFonts w:asciiTheme="minorHAnsi" w:hAnsiTheme="minorHAnsi" w:cstheme="minorBidi"/>
              </w:rPr>
              <w:t xml:space="preserve">for award. </w:t>
            </w:r>
            <w:r w:rsidR="673291F2" w:rsidRPr="398504A0">
              <w:rPr>
                <w:rFonts w:asciiTheme="minorHAnsi" w:hAnsiTheme="minorHAnsi" w:cstheme="minorBidi"/>
              </w:rPr>
              <w:t>Consultants are welcome</w:t>
            </w:r>
            <w:r w:rsidR="78FD03DD" w:rsidRPr="398504A0">
              <w:rPr>
                <w:rFonts w:asciiTheme="minorHAnsi" w:hAnsiTheme="minorHAnsi" w:cstheme="minorBidi"/>
              </w:rPr>
              <w:t xml:space="preserve">, within the confines of their submission, </w:t>
            </w:r>
            <w:r w:rsidR="673291F2" w:rsidRPr="398504A0">
              <w:rPr>
                <w:rFonts w:asciiTheme="minorHAnsi" w:hAnsiTheme="minorHAnsi" w:cstheme="minorBidi"/>
              </w:rPr>
              <w:t>to include related additional skills and/or unique experiences th</w:t>
            </w:r>
            <w:r w:rsidR="0E2382E0" w:rsidRPr="398504A0">
              <w:rPr>
                <w:rFonts w:asciiTheme="minorHAnsi" w:hAnsiTheme="minorHAnsi" w:cstheme="minorBidi"/>
              </w:rPr>
              <w:t xml:space="preserve">ey </w:t>
            </w:r>
            <w:r w:rsidR="673291F2" w:rsidRPr="398504A0">
              <w:rPr>
                <w:rFonts w:asciiTheme="minorHAnsi" w:hAnsiTheme="minorHAnsi" w:cstheme="minorBidi"/>
              </w:rPr>
              <w:t>have or can provide</w:t>
            </w:r>
            <w:r w:rsidR="64CBD696" w:rsidRPr="398504A0">
              <w:rPr>
                <w:rFonts w:asciiTheme="minorHAnsi" w:hAnsiTheme="minorHAnsi" w:cstheme="minorBidi"/>
              </w:rPr>
              <w:t xml:space="preserve">, </w:t>
            </w:r>
            <w:r w:rsidR="5AE3F64F" w:rsidRPr="398504A0">
              <w:rPr>
                <w:rFonts w:ascii="Segoe UI" w:eastAsia="Segoe UI" w:hAnsi="Segoe UI" w:cs="Segoe UI"/>
                <w:sz w:val="21"/>
                <w:szCs w:val="21"/>
              </w:rPr>
              <w:t xml:space="preserve">however </w:t>
            </w:r>
            <w:r w:rsidR="3C6108D6" w:rsidRPr="398504A0">
              <w:rPr>
                <w:rFonts w:ascii="Segoe UI" w:eastAsia="Segoe UI" w:hAnsi="Segoe UI" w:cs="Segoe UI"/>
                <w:sz w:val="21"/>
                <w:szCs w:val="21"/>
              </w:rPr>
              <w:t>applicants will only be assessed on the categories within the RFP</w:t>
            </w:r>
            <w:r w:rsidR="03B20278" w:rsidRPr="398504A0">
              <w:rPr>
                <w:rFonts w:ascii="Segoe UI" w:eastAsia="Segoe UI" w:hAnsi="Segoe UI" w:cs="Segoe UI"/>
                <w:sz w:val="21"/>
                <w:szCs w:val="21"/>
              </w:rPr>
              <w:t>.</w:t>
            </w:r>
          </w:p>
        </w:tc>
      </w:tr>
      <w:tr w:rsidR="001E6938" w:rsidRPr="00EF1DD7" w14:paraId="5F540C50" w14:textId="77777777" w:rsidTr="398504A0">
        <w:tc>
          <w:tcPr>
            <w:tcW w:w="5212" w:type="dxa"/>
            <w:tcMar>
              <w:top w:w="0" w:type="dxa"/>
              <w:left w:w="108" w:type="dxa"/>
              <w:bottom w:w="0" w:type="dxa"/>
              <w:right w:w="108" w:type="dxa"/>
            </w:tcMar>
          </w:tcPr>
          <w:p w14:paraId="4F8E9DCF" w14:textId="2D068F68"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lastRenderedPageBreak/>
              <w:t>Will NeighborWorks accept relevant projects completed by proposed personnel through their employment in public-sector and nonprofit organizations? Are resumes, references or work samples required beyond the technical proposal components listed in Section L?</w:t>
            </w:r>
          </w:p>
        </w:tc>
        <w:tc>
          <w:tcPr>
            <w:tcW w:w="4950" w:type="dxa"/>
            <w:tcMar>
              <w:top w:w="0" w:type="dxa"/>
              <w:left w:w="108" w:type="dxa"/>
              <w:bottom w:w="0" w:type="dxa"/>
              <w:right w:w="108" w:type="dxa"/>
            </w:tcMar>
          </w:tcPr>
          <w:p w14:paraId="53FDEED0" w14:textId="0D5527C1" w:rsidR="001E6938" w:rsidRPr="006C2E5E" w:rsidRDefault="117C5D72" w:rsidP="37B1F0EB">
            <w:pPr>
              <w:spacing w:line="259" w:lineRule="auto"/>
              <w:rPr>
                <w:rFonts w:asciiTheme="minorHAnsi" w:hAnsiTheme="minorHAnsi" w:cstheme="minorHAnsi"/>
              </w:rPr>
            </w:pPr>
            <w:r w:rsidRPr="006C2E5E">
              <w:rPr>
                <w:rFonts w:asciiTheme="minorHAnsi" w:hAnsiTheme="minorHAnsi" w:cstheme="minorHAnsi"/>
              </w:rPr>
              <w:t xml:space="preserve">When providing work samples, </w:t>
            </w:r>
            <w:r w:rsidR="7260BB3D" w:rsidRPr="006C2E5E">
              <w:rPr>
                <w:rFonts w:asciiTheme="minorHAnsi" w:hAnsiTheme="minorHAnsi" w:cstheme="minorHAnsi"/>
              </w:rPr>
              <w:t xml:space="preserve">space is provided for </w:t>
            </w:r>
            <w:r w:rsidRPr="006C2E5E">
              <w:rPr>
                <w:rFonts w:asciiTheme="minorHAnsi" w:hAnsiTheme="minorHAnsi" w:cstheme="minorHAnsi"/>
              </w:rPr>
              <w:t>c</w:t>
            </w:r>
            <w:r w:rsidR="7EAA5B06" w:rsidRPr="006C2E5E">
              <w:rPr>
                <w:rFonts w:asciiTheme="minorHAnsi" w:hAnsiTheme="minorHAnsi" w:cstheme="minorHAnsi"/>
              </w:rPr>
              <w:t xml:space="preserve">onsultants </w:t>
            </w:r>
            <w:r w:rsidR="78136326" w:rsidRPr="006C2E5E">
              <w:rPr>
                <w:rFonts w:asciiTheme="minorHAnsi" w:hAnsiTheme="minorHAnsi" w:cstheme="minorHAnsi"/>
              </w:rPr>
              <w:t xml:space="preserve">to </w:t>
            </w:r>
            <w:r w:rsidR="7EAA5B06" w:rsidRPr="006C2E5E">
              <w:rPr>
                <w:rFonts w:asciiTheme="minorHAnsi" w:hAnsiTheme="minorHAnsi" w:cstheme="minorHAnsi"/>
              </w:rPr>
              <w:t xml:space="preserve">describe </w:t>
            </w:r>
            <w:r w:rsidR="20105D3C" w:rsidRPr="006C2E5E">
              <w:rPr>
                <w:rFonts w:asciiTheme="minorHAnsi" w:hAnsiTheme="minorHAnsi" w:cstheme="minorHAnsi"/>
              </w:rPr>
              <w:t xml:space="preserve">their role and related context for the materials being submitted. That information is </w:t>
            </w:r>
            <w:r w:rsidR="282EE81A" w:rsidRPr="006C2E5E">
              <w:rPr>
                <w:rFonts w:asciiTheme="minorHAnsi" w:hAnsiTheme="minorHAnsi" w:cstheme="minorHAnsi"/>
              </w:rPr>
              <w:t>welcomed</w:t>
            </w:r>
            <w:r w:rsidR="20105D3C" w:rsidRPr="006C2E5E">
              <w:rPr>
                <w:rFonts w:asciiTheme="minorHAnsi" w:hAnsiTheme="minorHAnsi" w:cstheme="minorHAnsi"/>
              </w:rPr>
              <w:t xml:space="preserve"> within the constraints of the application. </w:t>
            </w:r>
          </w:p>
          <w:p w14:paraId="00CDFDAC" w14:textId="638DD864" w:rsidR="001E6938" w:rsidRPr="006C2E5E" w:rsidRDefault="001E6938" w:rsidP="1AC32881">
            <w:pPr>
              <w:rPr>
                <w:rFonts w:asciiTheme="minorHAnsi" w:hAnsiTheme="minorHAnsi" w:cstheme="minorHAnsi"/>
              </w:rPr>
            </w:pPr>
          </w:p>
          <w:p w14:paraId="2D48DD06" w14:textId="06102FE4" w:rsidR="001E6938" w:rsidRPr="006C2E5E" w:rsidRDefault="77CC86A8" w:rsidP="37B1F0EB">
            <w:pPr>
              <w:spacing w:line="259" w:lineRule="auto"/>
              <w:rPr>
                <w:rFonts w:asciiTheme="minorHAnsi" w:eastAsia="Segoe UI" w:hAnsiTheme="minorHAnsi" w:cstheme="minorHAnsi"/>
              </w:rPr>
            </w:pPr>
            <w:r w:rsidRPr="006C2E5E">
              <w:rPr>
                <w:rFonts w:asciiTheme="minorHAnsi" w:hAnsiTheme="minorHAnsi" w:cstheme="minorHAnsi"/>
              </w:rPr>
              <w:t>If awarded</w:t>
            </w:r>
            <w:r w:rsidR="7EAA5B06" w:rsidRPr="006C2E5E">
              <w:rPr>
                <w:rFonts w:asciiTheme="minorHAnsi" w:hAnsiTheme="minorHAnsi" w:cstheme="minorHAnsi"/>
              </w:rPr>
              <w:t>, it is unlikely that additional work samples will be required. Exceptions include, but are not limited to,</w:t>
            </w:r>
            <w:r w:rsidR="634B0A9C" w:rsidRPr="006C2E5E">
              <w:rPr>
                <w:rFonts w:asciiTheme="minorHAnsi" w:hAnsiTheme="minorHAnsi" w:cstheme="minorHAnsi"/>
              </w:rPr>
              <w:t xml:space="preserve"> </w:t>
            </w:r>
            <w:r w:rsidR="1DCA9B1E" w:rsidRPr="006C2E5E">
              <w:rPr>
                <w:rFonts w:asciiTheme="minorHAnsi" w:hAnsiTheme="minorHAnsi" w:cstheme="minorHAnsi"/>
              </w:rPr>
              <w:t>providing</w:t>
            </w:r>
            <w:r w:rsidR="5302FD2D" w:rsidRPr="006C2E5E">
              <w:rPr>
                <w:rFonts w:asciiTheme="minorHAnsi" w:hAnsiTheme="minorHAnsi" w:cstheme="minorHAnsi"/>
              </w:rPr>
              <w:t xml:space="preserve"> information to a</w:t>
            </w:r>
            <w:r w:rsidR="379EB436" w:rsidRPr="006C2E5E">
              <w:rPr>
                <w:rFonts w:asciiTheme="minorHAnsi" w:hAnsiTheme="minorHAnsi" w:cstheme="minorHAnsi"/>
              </w:rPr>
              <w:t xml:space="preserve"> specific</w:t>
            </w:r>
            <w:r w:rsidR="7EAA5B06" w:rsidRPr="006C2E5E">
              <w:rPr>
                <w:rFonts w:asciiTheme="minorHAnsi" w:hAnsiTheme="minorHAnsi" w:cstheme="minorHAnsi"/>
              </w:rPr>
              <w:t xml:space="preserve"> </w:t>
            </w:r>
            <w:r w:rsidR="296C6B61" w:rsidRPr="006C2E5E">
              <w:rPr>
                <w:rFonts w:asciiTheme="minorHAnsi" w:hAnsiTheme="minorHAnsi" w:cstheme="minorHAnsi"/>
              </w:rPr>
              <w:t xml:space="preserve">request from Success Measures </w:t>
            </w:r>
            <w:r w:rsidR="5C32E4CB" w:rsidRPr="006C2E5E">
              <w:rPr>
                <w:rFonts w:asciiTheme="minorHAnsi" w:hAnsiTheme="minorHAnsi" w:cstheme="minorHAnsi"/>
              </w:rPr>
              <w:t xml:space="preserve">related </w:t>
            </w:r>
            <w:r w:rsidR="7EAA5B06" w:rsidRPr="006C2E5E">
              <w:rPr>
                <w:rFonts w:asciiTheme="minorHAnsi" w:hAnsiTheme="minorHAnsi" w:cstheme="minorHAnsi"/>
              </w:rPr>
              <w:t xml:space="preserve">to an RFP </w:t>
            </w:r>
            <w:r w:rsidR="73769A9D" w:rsidRPr="006C2E5E">
              <w:rPr>
                <w:rFonts w:asciiTheme="minorHAnsi" w:hAnsiTheme="minorHAnsi" w:cstheme="minorHAnsi"/>
              </w:rPr>
              <w:t xml:space="preserve">that Success Measures is submitting </w:t>
            </w:r>
            <w:r w:rsidR="5211C9E6" w:rsidRPr="006C2E5E">
              <w:rPr>
                <w:rFonts w:asciiTheme="minorHAnsi" w:hAnsiTheme="minorHAnsi" w:cstheme="minorHAnsi"/>
              </w:rPr>
              <w:t xml:space="preserve">that requires </w:t>
            </w:r>
            <w:r w:rsidR="7EAA5B06" w:rsidRPr="006C2E5E">
              <w:rPr>
                <w:rFonts w:asciiTheme="minorHAnsi" w:hAnsiTheme="minorHAnsi" w:cstheme="minorHAnsi"/>
              </w:rPr>
              <w:t>relevant work samples from a proposed project team</w:t>
            </w:r>
            <w:r w:rsidR="0AA62725" w:rsidRPr="006C2E5E">
              <w:rPr>
                <w:rFonts w:asciiTheme="minorHAnsi" w:hAnsiTheme="minorHAnsi" w:cstheme="minorHAnsi"/>
              </w:rPr>
              <w:t xml:space="preserve">; </w:t>
            </w:r>
            <w:r w:rsidR="7EAA5B06" w:rsidRPr="006C2E5E">
              <w:rPr>
                <w:rFonts w:asciiTheme="minorHAnsi" w:hAnsiTheme="minorHAnsi" w:cstheme="minorHAnsi"/>
              </w:rPr>
              <w:t>or the need to see a specific type of product that is within the consultants named skillset but is highly specific to a particular project.</w:t>
            </w:r>
          </w:p>
        </w:tc>
      </w:tr>
      <w:tr w:rsidR="001E6938" w:rsidRPr="00EF1DD7" w14:paraId="161A199F" w14:textId="77777777" w:rsidTr="398504A0">
        <w:tc>
          <w:tcPr>
            <w:tcW w:w="5212" w:type="dxa"/>
            <w:tcMar>
              <w:top w:w="0" w:type="dxa"/>
              <w:left w:w="108" w:type="dxa"/>
              <w:bottom w:w="0" w:type="dxa"/>
              <w:right w:w="108" w:type="dxa"/>
            </w:tcMar>
          </w:tcPr>
          <w:p w14:paraId="366950CC" w14:textId="2B58160F"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How will projects be assigned to selected consultants? Can you provide anticipated days of effort, typical assignment size and expected availability? Is any minimum volume of work guaranteed?</w:t>
            </w:r>
          </w:p>
        </w:tc>
        <w:tc>
          <w:tcPr>
            <w:tcW w:w="4950" w:type="dxa"/>
            <w:tcMar>
              <w:top w:w="0" w:type="dxa"/>
              <w:left w:w="108" w:type="dxa"/>
              <w:bottom w:w="0" w:type="dxa"/>
              <w:right w:w="108" w:type="dxa"/>
            </w:tcMar>
          </w:tcPr>
          <w:p w14:paraId="0A1F8772" w14:textId="39C9B6D8" w:rsidR="001E6938" w:rsidRPr="006C2E5E" w:rsidRDefault="10F17020" w:rsidP="6DB4EBBA">
            <w:pPr>
              <w:spacing w:after="160"/>
              <w:rPr>
                <w:rFonts w:asciiTheme="minorHAnsi" w:hAnsiTheme="minorHAnsi" w:cstheme="minorHAnsi"/>
              </w:rPr>
            </w:pPr>
            <w:r w:rsidRPr="006C2E5E">
              <w:rPr>
                <w:rFonts w:asciiTheme="minorHAnsi" w:hAnsiTheme="minorHAnsi" w:cstheme="minorHAnsi"/>
              </w:rPr>
              <w:t>Success Measures project portfolio includes</w:t>
            </w:r>
            <w:r w:rsidR="166FF626" w:rsidRPr="006C2E5E">
              <w:rPr>
                <w:rFonts w:asciiTheme="minorHAnsi" w:hAnsiTheme="minorHAnsi" w:cstheme="minorHAnsi"/>
              </w:rPr>
              <w:t xml:space="preserve"> short-term</w:t>
            </w:r>
            <w:r w:rsidRPr="006C2E5E">
              <w:rPr>
                <w:rFonts w:asciiTheme="minorHAnsi" w:hAnsiTheme="minorHAnsi" w:cstheme="minorHAnsi"/>
              </w:rPr>
              <w:t xml:space="preserve"> (few months) and long-term (multi-year</w:t>
            </w:r>
            <w:r w:rsidR="03D74D4B" w:rsidRPr="006C2E5E">
              <w:rPr>
                <w:rFonts w:asciiTheme="minorHAnsi" w:hAnsiTheme="minorHAnsi" w:cstheme="minorHAnsi"/>
              </w:rPr>
              <w:t>) engagements. Depending upon the project requirements and consultant skillsets, task orders for consultants can range from one day to many months</w:t>
            </w:r>
            <w:r w:rsidR="3579CD9B" w:rsidRPr="006C2E5E">
              <w:rPr>
                <w:rFonts w:asciiTheme="minorHAnsi" w:hAnsiTheme="minorHAnsi" w:cstheme="minorHAnsi"/>
              </w:rPr>
              <w:t xml:space="preserve">. </w:t>
            </w:r>
          </w:p>
          <w:p w14:paraId="2166CD84" w14:textId="2243CACF" w:rsidR="001E6938" w:rsidRPr="006C2E5E" w:rsidRDefault="3579CD9B" w:rsidP="6DB4EBBA">
            <w:pPr>
              <w:spacing w:after="160"/>
              <w:rPr>
                <w:rFonts w:asciiTheme="minorHAnsi" w:hAnsiTheme="minorHAnsi" w:cstheme="minorHAnsi"/>
              </w:rPr>
            </w:pPr>
            <w:r w:rsidRPr="006C2E5E">
              <w:rPr>
                <w:rFonts w:asciiTheme="minorHAnsi" w:hAnsiTheme="minorHAnsi" w:cstheme="minorHAnsi"/>
              </w:rPr>
              <w:t>When a specific project opportunity arises, Success Measures reviews its roster of available consultants and will reach out to those with the appropriate skillset/experience.  Consultants always have the opportunity to decline a project based on current workload or any other reason, without penalty. Declining an invitation to work on a project will not impact whether you will be invited to another appropriately matched project in the future.</w:t>
            </w:r>
          </w:p>
          <w:p w14:paraId="014D85FE" w14:textId="192DF8FE" w:rsidR="001E6938" w:rsidRPr="006C2E5E" w:rsidRDefault="3579CD9B" w:rsidP="6DB4EBBA">
            <w:pPr>
              <w:rPr>
                <w:rFonts w:asciiTheme="minorHAnsi" w:eastAsia="Times New Roman" w:hAnsiTheme="minorHAnsi" w:cstheme="minorHAnsi"/>
              </w:rPr>
            </w:pPr>
            <w:r w:rsidRPr="006C2E5E">
              <w:rPr>
                <w:rFonts w:asciiTheme="minorHAnsi" w:hAnsiTheme="minorHAnsi" w:cstheme="minorHAnsi"/>
              </w:rPr>
              <w:t>No, an award does not guarantee a minimum level of work over the period of performance</w:t>
            </w:r>
            <w:r w:rsidR="00B513D4" w:rsidRPr="006C2E5E">
              <w:rPr>
                <w:rFonts w:asciiTheme="minorHAnsi" w:hAnsiTheme="minorHAnsi" w:cstheme="minorHAnsi"/>
              </w:rPr>
              <w:t xml:space="preserve"> of this award</w:t>
            </w:r>
            <w:r w:rsidRPr="006C2E5E">
              <w:rPr>
                <w:rFonts w:asciiTheme="minorHAnsi" w:hAnsiTheme="minorHAnsi" w:cstheme="minorHAnsi"/>
              </w:rPr>
              <w:t>.</w:t>
            </w:r>
          </w:p>
        </w:tc>
      </w:tr>
      <w:tr w:rsidR="001E6938" w:rsidRPr="00EF1DD7" w14:paraId="4A3ACB31" w14:textId="77777777" w:rsidTr="398504A0">
        <w:trPr>
          <w:trHeight w:val="2010"/>
        </w:trPr>
        <w:tc>
          <w:tcPr>
            <w:tcW w:w="5212" w:type="dxa"/>
            <w:tcMar>
              <w:top w:w="0" w:type="dxa"/>
              <w:left w:w="108" w:type="dxa"/>
              <w:bottom w:w="0" w:type="dxa"/>
              <w:right w:w="108" w:type="dxa"/>
            </w:tcMar>
          </w:tcPr>
          <w:p w14:paraId="0C7153E4" w14:textId="56FBFAAF" w:rsidR="001E6938" w:rsidRPr="006C2E5E" w:rsidRDefault="001E6938" w:rsidP="4C10F4D3">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themeColor="text1"/>
              </w:rPr>
              <w:t>How many hours constitute a billable day, and may partial days be prorated? For the required total not-to-exceed contract value, should bidders use their own estimated level of effort, or will NeighborWorks provide a common assumption? Should pricing also cover the potential six-month extension through September 2029?</w:t>
            </w:r>
          </w:p>
        </w:tc>
        <w:tc>
          <w:tcPr>
            <w:tcW w:w="4950" w:type="dxa"/>
            <w:tcMar>
              <w:top w:w="0" w:type="dxa"/>
              <w:left w:w="108" w:type="dxa"/>
              <w:bottom w:w="0" w:type="dxa"/>
              <w:right w:w="108" w:type="dxa"/>
            </w:tcMar>
          </w:tcPr>
          <w:p w14:paraId="6D37565D" w14:textId="278D64EA" w:rsidR="001E6938" w:rsidRPr="006C2E5E" w:rsidRDefault="40A87D4B" w:rsidP="6DB4EBBA">
            <w:pPr>
              <w:rPr>
                <w:rFonts w:asciiTheme="minorHAnsi" w:hAnsiTheme="minorHAnsi" w:cstheme="minorHAnsi"/>
              </w:rPr>
            </w:pPr>
            <w:r w:rsidRPr="006C2E5E">
              <w:rPr>
                <w:rFonts w:asciiTheme="minorHAnsi" w:hAnsiTheme="minorHAnsi" w:cstheme="minorHAnsi"/>
              </w:rPr>
              <w:t>A billable day consists of eight hours.</w:t>
            </w:r>
            <w:r w:rsidR="29B216D2" w:rsidRPr="006C2E5E">
              <w:rPr>
                <w:rFonts w:asciiTheme="minorHAnsi" w:hAnsiTheme="minorHAnsi" w:cstheme="minorHAnsi"/>
              </w:rPr>
              <w:t xml:space="preserve"> </w:t>
            </w:r>
            <w:r w:rsidR="19603EFB" w:rsidRPr="006C2E5E">
              <w:rPr>
                <w:rFonts w:asciiTheme="minorHAnsi" w:hAnsiTheme="minorHAnsi" w:cstheme="minorHAnsi"/>
              </w:rPr>
              <w:t xml:space="preserve">If hourly rates are customary, then the </w:t>
            </w:r>
            <w:r w:rsidR="20406DCF" w:rsidRPr="006C2E5E">
              <w:rPr>
                <w:rFonts w:asciiTheme="minorHAnsi" w:hAnsiTheme="minorHAnsi" w:cstheme="minorHAnsi"/>
              </w:rPr>
              <w:t xml:space="preserve">daily rate would be calculated as hourly rate x 8. </w:t>
            </w:r>
            <w:r w:rsidR="1D1827C2" w:rsidRPr="006C2E5E">
              <w:rPr>
                <w:rFonts w:asciiTheme="minorHAnsi" w:hAnsiTheme="minorHAnsi" w:cstheme="minorHAnsi"/>
              </w:rPr>
              <w:t xml:space="preserve">Daily rates are meant to be </w:t>
            </w:r>
            <w:r w:rsidR="4DC2057C" w:rsidRPr="006C2E5E">
              <w:rPr>
                <w:rFonts w:asciiTheme="minorHAnsi" w:hAnsiTheme="minorHAnsi" w:cstheme="minorHAnsi"/>
              </w:rPr>
              <w:t>all-inclusive</w:t>
            </w:r>
            <w:r w:rsidR="1D1827C2" w:rsidRPr="006C2E5E">
              <w:rPr>
                <w:rFonts w:asciiTheme="minorHAnsi" w:hAnsiTheme="minorHAnsi" w:cstheme="minorHAnsi"/>
              </w:rPr>
              <w:t xml:space="preserve">, </w:t>
            </w:r>
            <w:r w:rsidR="351BEBFA" w:rsidRPr="006C2E5E">
              <w:rPr>
                <w:rFonts w:asciiTheme="minorHAnsi" w:hAnsiTheme="minorHAnsi" w:cstheme="minorHAnsi"/>
              </w:rPr>
              <w:t>fully</w:t>
            </w:r>
            <w:r w:rsidR="3E6355EE" w:rsidRPr="006C2E5E">
              <w:rPr>
                <w:rFonts w:asciiTheme="minorHAnsi" w:hAnsiTheme="minorHAnsi" w:cstheme="minorHAnsi"/>
              </w:rPr>
              <w:t>-</w:t>
            </w:r>
            <w:r w:rsidR="351BEBFA" w:rsidRPr="006C2E5E">
              <w:rPr>
                <w:rFonts w:asciiTheme="minorHAnsi" w:hAnsiTheme="minorHAnsi" w:cstheme="minorHAnsi"/>
              </w:rPr>
              <w:t>loaded</w:t>
            </w:r>
            <w:r w:rsidR="1D1827C2" w:rsidRPr="006C2E5E">
              <w:rPr>
                <w:rFonts w:asciiTheme="minorHAnsi" w:hAnsiTheme="minorHAnsi" w:cstheme="minorHAnsi"/>
              </w:rPr>
              <w:t xml:space="preserve"> rates. </w:t>
            </w:r>
          </w:p>
          <w:p w14:paraId="2290D881" w14:textId="02188C53" w:rsidR="68CFD67D" w:rsidRPr="006C2E5E" w:rsidRDefault="68CFD67D" w:rsidP="68CFD67D">
            <w:pPr>
              <w:rPr>
                <w:rFonts w:asciiTheme="minorHAnsi" w:hAnsiTheme="minorHAnsi" w:cstheme="minorHAnsi"/>
              </w:rPr>
            </w:pPr>
          </w:p>
          <w:p w14:paraId="10603806" w14:textId="4C645A9E" w:rsidR="3DC1F1BB" w:rsidRPr="006C2E5E" w:rsidRDefault="3DC1F1BB" w:rsidP="68CFD67D">
            <w:pPr>
              <w:rPr>
                <w:rFonts w:asciiTheme="minorHAnsi" w:hAnsiTheme="minorHAnsi" w:cstheme="minorHAnsi"/>
              </w:rPr>
            </w:pPr>
            <w:r w:rsidRPr="006C2E5E">
              <w:rPr>
                <w:rFonts w:asciiTheme="minorHAnsi" w:hAnsiTheme="minorHAnsi" w:cstheme="minorHAnsi"/>
              </w:rPr>
              <w:t>Consultants are encouraged to submit their best pricing for each of the periods of performance.</w:t>
            </w:r>
            <w:r w:rsidR="00560597">
              <w:rPr>
                <w:rFonts w:asciiTheme="minorHAnsi" w:hAnsiTheme="minorHAnsi" w:cstheme="minorHAnsi"/>
              </w:rPr>
              <w:t xml:space="preserve"> </w:t>
            </w:r>
            <w:r w:rsidR="00560597">
              <w:rPr>
                <w:rFonts w:asciiTheme="minorHAnsi" w:hAnsiTheme="minorHAnsi" w:cstheme="minorHAnsi"/>
              </w:rPr>
              <w:lastRenderedPageBreak/>
              <w:t>Pricing should not consider the six-month extension at the time of award.</w:t>
            </w:r>
          </w:p>
          <w:p w14:paraId="72ABF74A" w14:textId="6A06E049" w:rsidR="001E6938" w:rsidRPr="006C2E5E" w:rsidRDefault="001E6938" w:rsidP="68CFD67D">
            <w:pPr>
              <w:spacing w:line="259" w:lineRule="auto"/>
              <w:rPr>
                <w:rFonts w:asciiTheme="minorHAnsi" w:hAnsiTheme="minorHAnsi" w:cstheme="minorHAnsi"/>
              </w:rPr>
            </w:pPr>
          </w:p>
        </w:tc>
      </w:tr>
      <w:tr w:rsidR="001E6938" w:rsidRPr="00EF1DD7" w14:paraId="0364512F" w14:textId="77777777" w:rsidTr="398504A0">
        <w:tc>
          <w:tcPr>
            <w:tcW w:w="5212" w:type="dxa"/>
            <w:tcMar>
              <w:top w:w="0" w:type="dxa"/>
              <w:left w:w="108" w:type="dxa"/>
              <w:bottom w:w="0" w:type="dxa"/>
              <w:right w:w="108" w:type="dxa"/>
            </w:tcMar>
          </w:tcPr>
          <w:p w14:paraId="4DBB899A" w14:textId="23462672"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lastRenderedPageBreak/>
              <w:t>Which services are expected onsite, and in what locations? Should travel, lodging, participant incentives, translation and interpretation be included in daily rates or identified as separate, preapproved expenses?</w:t>
            </w:r>
          </w:p>
        </w:tc>
        <w:tc>
          <w:tcPr>
            <w:tcW w:w="4950" w:type="dxa"/>
            <w:tcMar>
              <w:top w:w="0" w:type="dxa"/>
              <w:left w:w="108" w:type="dxa"/>
              <w:bottom w:w="0" w:type="dxa"/>
              <w:right w:w="108" w:type="dxa"/>
            </w:tcMar>
          </w:tcPr>
          <w:p w14:paraId="0A145F29" w14:textId="5B0CEEAC" w:rsidR="001E6938" w:rsidRPr="006C2E5E" w:rsidRDefault="6D802BF3" w:rsidP="6FA49098">
            <w:pPr>
              <w:rPr>
                <w:rFonts w:asciiTheme="minorHAnsi" w:hAnsiTheme="minorHAnsi" w:cstheme="minorHAnsi"/>
              </w:rPr>
            </w:pPr>
            <w:r w:rsidRPr="006C2E5E">
              <w:rPr>
                <w:rFonts w:asciiTheme="minorHAnsi" w:hAnsiTheme="minorHAnsi" w:cstheme="minorHAnsi"/>
              </w:rPr>
              <w:t>Most engagements are remote. If an opportunity might include travel or the need to be onsite at a particular location, that would be made known upfront</w:t>
            </w:r>
            <w:r w:rsidR="078A83FC" w:rsidRPr="006C2E5E">
              <w:rPr>
                <w:rFonts w:asciiTheme="minorHAnsi" w:hAnsiTheme="minorHAnsi" w:cstheme="minorHAnsi"/>
              </w:rPr>
              <w:t>, with clear instructions for what is included and how to structure any expenses,</w:t>
            </w:r>
            <w:r w:rsidRPr="006C2E5E">
              <w:rPr>
                <w:rFonts w:asciiTheme="minorHAnsi" w:hAnsiTheme="minorHAnsi" w:cstheme="minorHAnsi"/>
              </w:rPr>
              <w:t xml:space="preserve"> and a consultant would always have the ability to price the level of effort appropriately or decline. Declining an invitation to work on a project will not impact whether you will be invited to another appropriately matched project in the future.</w:t>
            </w:r>
          </w:p>
          <w:p w14:paraId="16DD73E7" w14:textId="1F869792" w:rsidR="001E6938" w:rsidRPr="006C2E5E" w:rsidRDefault="001E6938" w:rsidP="6DB4EBBA">
            <w:pPr>
              <w:rPr>
                <w:rFonts w:asciiTheme="minorHAnsi" w:hAnsiTheme="minorHAnsi" w:cstheme="minorHAnsi"/>
              </w:rPr>
            </w:pPr>
          </w:p>
          <w:p w14:paraId="2E9ACAD6" w14:textId="368374B0" w:rsidR="001E6938" w:rsidRPr="006C2E5E" w:rsidRDefault="58E2D08A" w:rsidP="68CFD67D">
            <w:pPr>
              <w:spacing w:line="259" w:lineRule="auto"/>
              <w:rPr>
                <w:rFonts w:asciiTheme="minorHAnsi" w:hAnsiTheme="minorHAnsi" w:cstheme="minorHAnsi"/>
              </w:rPr>
            </w:pPr>
            <w:r w:rsidRPr="006C2E5E">
              <w:rPr>
                <w:rFonts w:asciiTheme="minorHAnsi" w:hAnsiTheme="minorHAnsi" w:cstheme="minorHAnsi"/>
              </w:rPr>
              <w:t xml:space="preserve">Travel, lodging, participant incentives, translation and interpretation should not be included in daily rates. Those costs (and other </w:t>
            </w:r>
            <w:r w:rsidR="4454CB0A" w:rsidRPr="006C2E5E">
              <w:rPr>
                <w:rFonts w:asciiTheme="minorHAnsi" w:hAnsiTheme="minorHAnsi" w:cstheme="minorHAnsi"/>
              </w:rPr>
              <w:t xml:space="preserve">similar </w:t>
            </w:r>
            <w:r w:rsidRPr="006C2E5E">
              <w:rPr>
                <w:rFonts w:asciiTheme="minorHAnsi" w:hAnsiTheme="minorHAnsi" w:cstheme="minorHAnsi"/>
              </w:rPr>
              <w:t xml:space="preserve">costs associated with a project) are budgeted separately when a project </w:t>
            </w:r>
            <w:r w:rsidR="06E99A40" w:rsidRPr="006C2E5E">
              <w:rPr>
                <w:rFonts w:asciiTheme="minorHAnsi" w:hAnsiTheme="minorHAnsi" w:cstheme="minorHAnsi"/>
              </w:rPr>
              <w:t>opportunity arises</w:t>
            </w:r>
            <w:r w:rsidRPr="006C2E5E">
              <w:rPr>
                <w:rFonts w:asciiTheme="minorHAnsi" w:hAnsiTheme="minorHAnsi" w:cstheme="minorHAnsi"/>
              </w:rPr>
              <w:t>. Please only include your time to carry out the work within a category within your daily rate.</w:t>
            </w:r>
          </w:p>
        </w:tc>
      </w:tr>
      <w:tr w:rsidR="001E6938" w:rsidRPr="00EF1DD7" w14:paraId="4892E0A2" w14:textId="77777777" w:rsidTr="398504A0">
        <w:tc>
          <w:tcPr>
            <w:tcW w:w="5212" w:type="dxa"/>
            <w:tcMar>
              <w:top w:w="0" w:type="dxa"/>
              <w:left w:w="108" w:type="dxa"/>
              <w:bottom w:w="0" w:type="dxa"/>
              <w:right w:w="108" w:type="dxa"/>
            </w:tcMar>
          </w:tcPr>
          <w:p w14:paraId="68D216A1" w14:textId="553DB41C"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May a firm propose a small team with different daily rates by role? Must all supporting personnel be named at submission, or may administrative and bilingual support positions be identified by title and assigned later, subject to approval?</w:t>
            </w:r>
          </w:p>
        </w:tc>
        <w:tc>
          <w:tcPr>
            <w:tcW w:w="4950" w:type="dxa"/>
            <w:tcMar>
              <w:top w:w="0" w:type="dxa"/>
              <w:left w:w="108" w:type="dxa"/>
              <w:bottom w:w="0" w:type="dxa"/>
              <w:right w:w="108" w:type="dxa"/>
            </w:tcMar>
          </w:tcPr>
          <w:p w14:paraId="4BFEEC11" w14:textId="3E9674E3" w:rsidR="0C5EC11C" w:rsidRPr="006C2E5E" w:rsidRDefault="0C5EC11C" w:rsidP="68CFD67D">
            <w:pPr>
              <w:rPr>
                <w:rFonts w:asciiTheme="minorHAnsi" w:hAnsiTheme="minorHAnsi" w:cstheme="minorHAnsi"/>
              </w:rPr>
            </w:pPr>
            <w:r w:rsidRPr="006C2E5E">
              <w:rPr>
                <w:rFonts w:asciiTheme="minorHAnsi" w:hAnsiTheme="minorHAnsi" w:cstheme="minorHAnsi"/>
              </w:rPr>
              <w:t>Yes, different roles may have different daily rates, consultants may submit up to four (4) different rates, varying by role</w:t>
            </w:r>
            <w:r w:rsidR="41C917FC" w:rsidRPr="006C2E5E">
              <w:rPr>
                <w:rFonts w:asciiTheme="minorHAnsi" w:hAnsiTheme="minorHAnsi" w:cstheme="minorHAnsi"/>
              </w:rPr>
              <w:t xml:space="preserve">. Clearly define the roles/personnel in those roles in your response. </w:t>
            </w:r>
            <w:r w:rsidR="5CFC244A" w:rsidRPr="006C2E5E">
              <w:rPr>
                <w:rFonts w:asciiTheme="minorHAnsi" w:hAnsiTheme="minorHAnsi" w:cstheme="minorHAnsi"/>
              </w:rPr>
              <w:t>If there is a small team that you have in mind, provide the supporting personnel during the submission process.</w:t>
            </w:r>
          </w:p>
          <w:p w14:paraId="5DB2CEA2" w14:textId="03AA5047" w:rsidR="6DB4EBBA" w:rsidRPr="006C2E5E" w:rsidRDefault="6DB4EBBA" w:rsidP="6DB4EBBA">
            <w:pPr>
              <w:rPr>
                <w:rFonts w:asciiTheme="minorHAnsi" w:hAnsiTheme="minorHAnsi" w:cstheme="minorHAnsi"/>
              </w:rPr>
            </w:pPr>
          </w:p>
          <w:p w14:paraId="5EBB0A9C" w14:textId="6400743B" w:rsidR="001E6938" w:rsidRPr="006C2E5E" w:rsidRDefault="6B67EC55" w:rsidP="6DB4EBBA">
            <w:pPr>
              <w:rPr>
                <w:rFonts w:asciiTheme="minorHAnsi" w:hAnsiTheme="minorHAnsi" w:cstheme="minorHAnsi"/>
              </w:rPr>
            </w:pPr>
            <w:r w:rsidRPr="006C2E5E">
              <w:rPr>
                <w:rFonts w:asciiTheme="minorHAnsi" w:hAnsiTheme="minorHAnsi" w:cstheme="minorHAnsi"/>
              </w:rPr>
              <w:t xml:space="preserve">Adding individuals to an </w:t>
            </w:r>
            <w:r w:rsidR="76B775A7" w:rsidRPr="006C2E5E">
              <w:rPr>
                <w:rFonts w:asciiTheme="minorHAnsi" w:hAnsiTheme="minorHAnsi" w:cstheme="minorHAnsi"/>
              </w:rPr>
              <w:t>existing</w:t>
            </w:r>
            <w:r w:rsidRPr="006C2E5E">
              <w:rPr>
                <w:rFonts w:asciiTheme="minorHAnsi" w:hAnsiTheme="minorHAnsi" w:cstheme="minorHAnsi"/>
              </w:rPr>
              <w:t xml:space="preserve"> contract </w:t>
            </w:r>
            <w:r w:rsidR="0A66D2FD" w:rsidRPr="006C2E5E">
              <w:rPr>
                <w:rFonts w:asciiTheme="minorHAnsi" w:hAnsiTheme="minorHAnsi" w:cstheme="minorHAnsi"/>
              </w:rPr>
              <w:t xml:space="preserve">would be considered on a </w:t>
            </w:r>
            <w:r w:rsidR="40E1FC5E" w:rsidRPr="006C2E5E">
              <w:rPr>
                <w:rFonts w:asciiTheme="minorHAnsi" w:hAnsiTheme="minorHAnsi" w:cstheme="minorHAnsi"/>
              </w:rPr>
              <w:t>case-by-case</w:t>
            </w:r>
            <w:r w:rsidR="0A66D2FD" w:rsidRPr="006C2E5E">
              <w:rPr>
                <w:rFonts w:asciiTheme="minorHAnsi" w:hAnsiTheme="minorHAnsi" w:cstheme="minorHAnsi"/>
              </w:rPr>
              <w:t xml:space="preserve"> basis</w:t>
            </w:r>
            <w:r w:rsidR="55BA5DC8" w:rsidRPr="006C2E5E">
              <w:rPr>
                <w:rFonts w:asciiTheme="minorHAnsi" w:hAnsiTheme="minorHAnsi" w:cstheme="minorHAnsi"/>
              </w:rPr>
              <w:t xml:space="preserve"> and would need to be required for service delivery</w:t>
            </w:r>
            <w:r w:rsidR="0A66D2FD" w:rsidRPr="006C2E5E">
              <w:rPr>
                <w:rFonts w:asciiTheme="minorHAnsi" w:hAnsiTheme="minorHAnsi" w:cstheme="minorHAnsi"/>
              </w:rPr>
              <w:t xml:space="preserve">. The Success Measures team </w:t>
            </w:r>
            <w:r w:rsidR="2FEDB37A" w:rsidRPr="006C2E5E">
              <w:rPr>
                <w:rFonts w:asciiTheme="minorHAnsi" w:hAnsiTheme="minorHAnsi" w:cstheme="minorHAnsi"/>
              </w:rPr>
              <w:t>will</w:t>
            </w:r>
            <w:r w:rsidR="4252B5DD" w:rsidRPr="006C2E5E">
              <w:rPr>
                <w:rFonts w:asciiTheme="minorHAnsi" w:hAnsiTheme="minorHAnsi" w:cstheme="minorHAnsi"/>
              </w:rPr>
              <w:t xml:space="preserve"> need to review and vet any new additions to an </w:t>
            </w:r>
            <w:r w:rsidR="6F5A4DFC" w:rsidRPr="006C2E5E">
              <w:rPr>
                <w:rFonts w:asciiTheme="minorHAnsi" w:hAnsiTheme="minorHAnsi" w:cstheme="minorHAnsi"/>
              </w:rPr>
              <w:t>existing</w:t>
            </w:r>
            <w:r w:rsidR="4252B5DD" w:rsidRPr="006C2E5E">
              <w:rPr>
                <w:rFonts w:asciiTheme="minorHAnsi" w:hAnsiTheme="minorHAnsi" w:cstheme="minorHAnsi"/>
              </w:rPr>
              <w:t xml:space="preserve"> contract. </w:t>
            </w:r>
            <w:r w:rsidR="79D5FF19" w:rsidRPr="006C2E5E">
              <w:rPr>
                <w:rFonts w:asciiTheme="minorHAnsi" w:hAnsiTheme="minorHAnsi" w:cstheme="minorHAnsi"/>
              </w:rPr>
              <w:t xml:space="preserve">If supporting personnel will provide direct services to projects in most cases, please </w:t>
            </w:r>
            <w:r w:rsidR="4F79C403" w:rsidRPr="006C2E5E">
              <w:rPr>
                <w:rFonts w:asciiTheme="minorHAnsi" w:hAnsiTheme="minorHAnsi" w:cstheme="minorHAnsi"/>
              </w:rPr>
              <w:t>include</w:t>
            </w:r>
            <w:r w:rsidR="79D5FF19" w:rsidRPr="006C2E5E">
              <w:rPr>
                <w:rFonts w:asciiTheme="minorHAnsi" w:hAnsiTheme="minorHAnsi" w:cstheme="minorHAnsi"/>
              </w:rPr>
              <w:t xml:space="preserve"> them. Daily rates should </w:t>
            </w:r>
            <w:r w:rsidR="1B0D012F" w:rsidRPr="006C2E5E">
              <w:rPr>
                <w:rFonts w:asciiTheme="minorHAnsi" w:hAnsiTheme="minorHAnsi" w:cstheme="minorHAnsi"/>
              </w:rPr>
              <w:t>be</w:t>
            </w:r>
            <w:r w:rsidR="79D5FF19" w:rsidRPr="006C2E5E">
              <w:rPr>
                <w:rFonts w:asciiTheme="minorHAnsi" w:hAnsiTheme="minorHAnsi" w:cstheme="minorHAnsi"/>
              </w:rPr>
              <w:t xml:space="preserve"> all-inclusiv</w:t>
            </w:r>
            <w:r w:rsidR="7B97DF42" w:rsidRPr="006C2E5E">
              <w:rPr>
                <w:rFonts w:asciiTheme="minorHAnsi" w:hAnsiTheme="minorHAnsi" w:cstheme="minorHAnsi"/>
              </w:rPr>
              <w:t>e, fully-loaded</w:t>
            </w:r>
            <w:r w:rsidR="2A1A19D8" w:rsidRPr="006C2E5E">
              <w:rPr>
                <w:rFonts w:asciiTheme="minorHAnsi" w:hAnsiTheme="minorHAnsi" w:cstheme="minorHAnsi"/>
              </w:rPr>
              <w:t xml:space="preserve">, </w:t>
            </w:r>
            <w:r w:rsidR="7B97DF42" w:rsidRPr="006C2E5E">
              <w:rPr>
                <w:rFonts w:asciiTheme="minorHAnsi" w:hAnsiTheme="minorHAnsi" w:cstheme="minorHAnsi"/>
              </w:rPr>
              <w:t>overhead and indirect costs</w:t>
            </w:r>
            <w:r w:rsidR="7D5AC266" w:rsidRPr="006C2E5E">
              <w:rPr>
                <w:rFonts w:asciiTheme="minorHAnsi" w:hAnsiTheme="minorHAnsi" w:cstheme="minorHAnsi"/>
              </w:rPr>
              <w:t xml:space="preserve"> </w:t>
            </w:r>
            <w:r w:rsidR="1344DAD3" w:rsidRPr="006C2E5E">
              <w:rPr>
                <w:rFonts w:asciiTheme="minorHAnsi" w:hAnsiTheme="minorHAnsi" w:cstheme="minorHAnsi"/>
              </w:rPr>
              <w:t>can</w:t>
            </w:r>
            <w:r w:rsidR="7D5AC266" w:rsidRPr="006C2E5E">
              <w:rPr>
                <w:rFonts w:asciiTheme="minorHAnsi" w:hAnsiTheme="minorHAnsi" w:cstheme="minorHAnsi"/>
              </w:rPr>
              <w:t>not</w:t>
            </w:r>
            <w:r w:rsidR="6DF8C052" w:rsidRPr="006C2E5E">
              <w:rPr>
                <w:rFonts w:asciiTheme="minorHAnsi" w:hAnsiTheme="minorHAnsi" w:cstheme="minorHAnsi"/>
              </w:rPr>
              <w:t xml:space="preserve"> be</w:t>
            </w:r>
            <w:r w:rsidR="7D5AC266" w:rsidRPr="006C2E5E">
              <w:rPr>
                <w:rFonts w:asciiTheme="minorHAnsi" w:hAnsiTheme="minorHAnsi" w:cstheme="minorHAnsi"/>
              </w:rPr>
              <w:t xml:space="preserve"> billed separately. </w:t>
            </w:r>
          </w:p>
        </w:tc>
      </w:tr>
      <w:tr w:rsidR="001E6938" w:rsidRPr="00EF1DD7" w14:paraId="1944AE24" w14:textId="77777777" w:rsidTr="398504A0">
        <w:tc>
          <w:tcPr>
            <w:tcW w:w="5212" w:type="dxa"/>
            <w:tcMar>
              <w:top w:w="0" w:type="dxa"/>
              <w:left w:w="108" w:type="dxa"/>
              <w:bottom w:w="0" w:type="dxa"/>
              <w:right w:w="108" w:type="dxa"/>
            </w:tcMar>
          </w:tcPr>
          <w:p w14:paraId="16B01D50" w14:textId="3B338810"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lastRenderedPageBreak/>
              <w:t>Will NeighborWorks provide required platform access, software licenses and onboarding for assigned work? Could you confirm how bidders can access the Information Governance Policy and Alchemer Survey attachments listed in Section J, and whether completing that survey is required with the proposal?</w:t>
            </w:r>
          </w:p>
        </w:tc>
        <w:tc>
          <w:tcPr>
            <w:tcW w:w="4950" w:type="dxa"/>
            <w:tcMar>
              <w:top w:w="0" w:type="dxa"/>
              <w:left w:w="108" w:type="dxa"/>
              <w:bottom w:w="0" w:type="dxa"/>
              <w:right w:w="108" w:type="dxa"/>
            </w:tcMar>
          </w:tcPr>
          <w:p w14:paraId="79952454" w14:textId="68B790F3" w:rsidR="001E6938" w:rsidRPr="006C2E5E" w:rsidRDefault="0D10484A" w:rsidP="68CFD67D">
            <w:pPr>
              <w:spacing w:line="259" w:lineRule="auto"/>
              <w:rPr>
                <w:rFonts w:asciiTheme="minorHAnsi" w:hAnsiTheme="minorHAnsi" w:cstheme="minorHAnsi"/>
              </w:rPr>
            </w:pPr>
            <w:r w:rsidRPr="006C2E5E">
              <w:rPr>
                <w:rFonts w:asciiTheme="minorHAnsi" w:hAnsiTheme="minorHAnsi" w:cstheme="minorHAnsi"/>
              </w:rPr>
              <w:t xml:space="preserve">Awards under this solicitation </w:t>
            </w:r>
            <w:r w:rsidR="05A1987A" w:rsidRPr="006C2E5E">
              <w:rPr>
                <w:rFonts w:asciiTheme="minorHAnsi" w:hAnsiTheme="minorHAnsi" w:cstheme="minorHAnsi"/>
              </w:rPr>
              <w:t xml:space="preserve">assume the consultant can provide all services required as </w:t>
            </w:r>
            <w:r w:rsidRPr="006C2E5E">
              <w:rPr>
                <w:rFonts w:asciiTheme="minorHAnsi" w:hAnsiTheme="minorHAnsi" w:cstheme="minorHAnsi"/>
              </w:rPr>
              <w:t>an independent contractor.</w:t>
            </w:r>
            <w:r w:rsidR="14F3F5C6" w:rsidRPr="006C2E5E">
              <w:rPr>
                <w:rFonts w:asciiTheme="minorHAnsi" w:hAnsiTheme="minorHAnsi" w:cstheme="minorHAnsi"/>
              </w:rPr>
              <w:t xml:space="preserve"> If a particular engagement requires access to, or use of, a specific platform or software, </w:t>
            </w:r>
            <w:r w:rsidR="5B37168D" w:rsidRPr="006C2E5E">
              <w:rPr>
                <w:rFonts w:asciiTheme="minorHAnsi" w:hAnsiTheme="minorHAnsi" w:cstheme="minorHAnsi"/>
              </w:rPr>
              <w:t xml:space="preserve">Success Measures or NeighborWorks America will facilitate that access. </w:t>
            </w:r>
          </w:p>
          <w:p w14:paraId="0BDC45D8" w14:textId="4A53E423" w:rsidR="001E6938" w:rsidRPr="006C2E5E" w:rsidRDefault="001E6938" w:rsidP="68CFD67D">
            <w:pPr>
              <w:spacing w:line="259" w:lineRule="auto"/>
              <w:rPr>
                <w:rFonts w:asciiTheme="minorHAnsi" w:hAnsiTheme="minorHAnsi" w:cstheme="minorHAnsi"/>
              </w:rPr>
            </w:pPr>
          </w:p>
          <w:p w14:paraId="35D2E413" w14:textId="12BA2B7F" w:rsidR="001E6938" w:rsidRPr="006C2E5E" w:rsidRDefault="1F29A7FC" w:rsidP="68CFD67D">
            <w:pPr>
              <w:spacing w:line="259" w:lineRule="auto"/>
              <w:rPr>
                <w:rFonts w:asciiTheme="minorHAnsi" w:hAnsiTheme="minorHAnsi" w:cstheme="minorHAnsi"/>
              </w:rPr>
            </w:pPr>
            <w:r w:rsidRPr="006C2E5E">
              <w:rPr>
                <w:rFonts w:asciiTheme="minorHAnsi" w:hAnsiTheme="minorHAnsi" w:cstheme="minorHAnsi"/>
              </w:rPr>
              <w:t>The Information Governance Policy and the Alchemer Survey are availa</w:t>
            </w:r>
            <w:r w:rsidR="6E6F77FE" w:rsidRPr="006C2E5E">
              <w:rPr>
                <w:rFonts w:asciiTheme="minorHAnsi" w:hAnsiTheme="minorHAnsi" w:cstheme="minorHAnsi"/>
              </w:rPr>
              <w:t xml:space="preserve">ble on NeighborWorks America’s Business Opportunities </w:t>
            </w:r>
            <w:hyperlink r:id="rId8" w:history="1">
              <w:r w:rsidR="6E6F77FE" w:rsidRPr="00560597">
                <w:rPr>
                  <w:rStyle w:val="Hyperlink"/>
                  <w:rFonts w:asciiTheme="minorHAnsi" w:hAnsiTheme="minorHAnsi" w:cstheme="minorHAnsi"/>
                </w:rPr>
                <w:t>web page</w:t>
              </w:r>
            </w:hyperlink>
            <w:r w:rsidR="00560597">
              <w:rPr>
                <w:rFonts w:asciiTheme="minorHAnsi" w:hAnsiTheme="minorHAnsi" w:cstheme="minorHAnsi"/>
              </w:rPr>
              <w:t>,</w:t>
            </w:r>
            <w:r w:rsidR="22FA0F59" w:rsidRPr="006C2E5E">
              <w:rPr>
                <w:rFonts w:asciiTheme="minorHAnsi" w:hAnsiTheme="minorHAnsi" w:cstheme="minorHAnsi"/>
              </w:rPr>
              <w:t xml:space="preserve"> and can also be accessed within the Alchemer Survey itself. There are also step by step instructions in the Alchemer Survey. </w:t>
            </w:r>
          </w:p>
          <w:p w14:paraId="3490C0BD" w14:textId="26C0C036" w:rsidR="001E6938" w:rsidRPr="006C2E5E" w:rsidRDefault="001E6938" w:rsidP="68CFD67D">
            <w:pPr>
              <w:spacing w:line="259" w:lineRule="auto"/>
              <w:rPr>
                <w:rFonts w:asciiTheme="minorHAnsi" w:hAnsiTheme="minorHAnsi" w:cstheme="minorHAnsi"/>
              </w:rPr>
            </w:pPr>
          </w:p>
          <w:p w14:paraId="7D614FF0" w14:textId="1478E915" w:rsidR="001E6938" w:rsidRPr="006C2E5E" w:rsidRDefault="22FA0F59" w:rsidP="68CFD67D">
            <w:pPr>
              <w:spacing w:line="259" w:lineRule="auto"/>
              <w:rPr>
                <w:rFonts w:asciiTheme="minorHAnsi" w:hAnsiTheme="minorHAnsi" w:cstheme="minorHAnsi"/>
              </w:rPr>
            </w:pPr>
            <w:r w:rsidRPr="006C2E5E">
              <w:rPr>
                <w:rFonts w:asciiTheme="minorHAnsi" w:hAnsiTheme="minorHAnsi" w:cstheme="minorHAnsi"/>
              </w:rPr>
              <w:t>The Alchemer Survey is the application for submission on this solici</w:t>
            </w:r>
            <w:r w:rsidR="0B27C800" w:rsidRPr="006C2E5E">
              <w:rPr>
                <w:rFonts w:asciiTheme="minorHAnsi" w:hAnsiTheme="minorHAnsi" w:cstheme="minorHAnsi"/>
              </w:rPr>
              <w:t xml:space="preserve">tation. It, and all of the information contained therein, are required. </w:t>
            </w:r>
          </w:p>
        </w:tc>
      </w:tr>
      <w:tr w:rsidR="001E6938" w:rsidRPr="00EF1DD7" w14:paraId="55E4E8A9" w14:textId="77777777" w:rsidTr="398504A0">
        <w:tc>
          <w:tcPr>
            <w:tcW w:w="5212" w:type="dxa"/>
            <w:tcMar>
              <w:top w:w="0" w:type="dxa"/>
              <w:left w:w="108" w:type="dxa"/>
              <w:bottom w:w="0" w:type="dxa"/>
              <w:right w:w="108" w:type="dxa"/>
            </w:tcMar>
          </w:tcPr>
          <w:p w14:paraId="2E97B380" w14:textId="52705614"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Is this RFP for a flexible bench of consultants? If so, does NeighborWorks have projects in mind already or are the consultants called upon on an as-needed basis at any point throughout the performance period?</w:t>
            </w:r>
          </w:p>
        </w:tc>
        <w:tc>
          <w:tcPr>
            <w:tcW w:w="4950" w:type="dxa"/>
            <w:tcMar>
              <w:top w:w="0" w:type="dxa"/>
              <w:left w:w="108" w:type="dxa"/>
              <w:bottom w:w="0" w:type="dxa"/>
              <w:right w:w="108" w:type="dxa"/>
            </w:tcMar>
          </w:tcPr>
          <w:p w14:paraId="0CCE000F" w14:textId="7E191AC1" w:rsidR="001E6938" w:rsidRPr="006C2E5E" w:rsidRDefault="4F76F451" w:rsidP="68CFD67D">
            <w:pPr>
              <w:rPr>
                <w:rFonts w:asciiTheme="minorHAnsi" w:hAnsiTheme="minorHAnsi" w:cstheme="minorHAnsi"/>
              </w:rPr>
            </w:pPr>
            <w:r w:rsidRPr="006C2E5E">
              <w:rPr>
                <w:rFonts w:asciiTheme="minorHAnsi" w:hAnsiTheme="minorHAnsi" w:cstheme="minorHAnsi"/>
              </w:rPr>
              <w:t xml:space="preserve">Yes, awards under this solicitation are “as needed”. </w:t>
            </w:r>
            <w:r w:rsidR="1858DF62" w:rsidRPr="006C2E5E">
              <w:rPr>
                <w:rFonts w:asciiTheme="minorHAnsi" w:hAnsiTheme="minorHAnsi" w:cstheme="minorHAnsi"/>
              </w:rPr>
              <w:t xml:space="preserve">This solicitation is not for any one specific project. Rather, it is for interested and qualified consultants to apply to be part of our pool of consultants. We draw from this pool to deliver services on contracted consulting efforts and sometimes to build teams to support the scope of services required by our contracted work for clients. </w:t>
            </w:r>
          </w:p>
        </w:tc>
      </w:tr>
      <w:tr w:rsidR="001E6938" w:rsidRPr="00EF1DD7" w14:paraId="10131863" w14:textId="77777777" w:rsidTr="398504A0">
        <w:tc>
          <w:tcPr>
            <w:tcW w:w="5212" w:type="dxa"/>
            <w:tcMar>
              <w:top w:w="0" w:type="dxa"/>
              <w:left w:w="108" w:type="dxa"/>
              <w:bottom w:w="0" w:type="dxa"/>
              <w:right w:w="108" w:type="dxa"/>
            </w:tcMar>
          </w:tcPr>
          <w:p w14:paraId="72EF3672" w14:textId="3AA32E42"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Is there an expected number of consultants/firms NeighborWorks will engage?</w:t>
            </w:r>
          </w:p>
        </w:tc>
        <w:tc>
          <w:tcPr>
            <w:tcW w:w="4950" w:type="dxa"/>
            <w:tcMar>
              <w:top w:w="0" w:type="dxa"/>
              <w:left w:w="108" w:type="dxa"/>
              <w:bottom w:w="0" w:type="dxa"/>
              <w:right w:w="108" w:type="dxa"/>
            </w:tcMar>
          </w:tcPr>
          <w:p w14:paraId="5E08BBA2" w14:textId="7C8197D0" w:rsidR="001E6938" w:rsidRPr="006C2E5E" w:rsidRDefault="6D2768B6" w:rsidP="68CFD67D">
            <w:pPr>
              <w:rPr>
                <w:rFonts w:asciiTheme="minorHAnsi" w:hAnsiTheme="minorHAnsi" w:cstheme="minorHAnsi"/>
              </w:rPr>
            </w:pPr>
            <w:r w:rsidRPr="006C2E5E">
              <w:rPr>
                <w:rFonts w:asciiTheme="minorHAnsi" w:hAnsiTheme="minorHAnsi" w:cstheme="minorHAnsi"/>
              </w:rPr>
              <w:t>There is no anticipated number of consultants to be awarded through this RFP. The number awarded will be dependent on the proposals submitted and how those submissions are evaluated, rated and scored according to the Evaluation Criteria outlined in the RFP.</w:t>
            </w:r>
          </w:p>
        </w:tc>
      </w:tr>
      <w:tr w:rsidR="001E6938" w:rsidRPr="00EF1DD7" w14:paraId="282BC904" w14:textId="77777777" w:rsidTr="398504A0">
        <w:tc>
          <w:tcPr>
            <w:tcW w:w="5212" w:type="dxa"/>
            <w:tcMar>
              <w:top w:w="0" w:type="dxa"/>
              <w:left w:w="108" w:type="dxa"/>
              <w:bottom w:w="0" w:type="dxa"/>
              <w:right w:w="108" w:type="dxa"/>
            </w:tcMar>
          </w:tcPr>
          <w:p w14:paraId="44462994" w14:textId="21327085"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Is there an expected number of projects assigned to each awardee?</w:t>
            </w:r>
          </w:p>
        </w:tc>
        <w:tc>
          <w:tcPr>
            <w:tcW w:w="4950" w:type="dxa"/>
            <w:tcMar>
              <w:top w:w="0" w:type="dxa"/>
              <w:left w:w="108" w:type="dxa"/>
              <w:bottom w:w="0" w:type="dxa"/>
              <w:right w:w="108" w:type="dxa"/>
            </w:tcMar>
          </w:tcPr>
          <w:p w14:paraId="52B5EC01" w14:textId="2557C1FC" w:rsidR="001E6938" w:rsidRPr="006C2E5E" w:rsidRDefault="56F87574" w:rsidP="6DB4EBBA">
            <w:pPr>
              <w:rPr>
                <w:rFonts w:asciiTheme="minorHAnsi" w:hAnsiTheme="minorHAnsi" w:cstheme="minorHAnsi"/>
              </w:rPr>
            </w:pPr>
            <w:r w:rsidRPr="006C2E5E">
              <w:rPr>
                <w:rFonts w:asciiTheme="minorHAnsi" w:hAnsiTheme="minorHAnsi" w:cstheme="minorHAnsi"/>
              </w:rPr>
              <w:t xml:space="preserve">No. </w:t>
            </w:r>
            <w:r w:rsidR="4E52EF53" w:rsidRPr="006C2E5E">
              <w:rPr>
                <w:rFonts w:asciiTheme="minorHAnsi" w:hAnsiTheme="minorHAnsi" w:cstheme="minorHAnsi"/>
              </w:rPr>
              <w:t>Success Measures</w:t>
            </w:r>
            <w:r w:rsidR="459396D2" w:rsidRPr="006C2E5E">
              <w:rPr>
                <w:rFonts w:asciiTheme="minorHAnsi" w:hAnsiTheme="minorHAnsi" w:cstheme="minorHAnsi"/>
              </w:rPr>
              <w:t xml:space="preserve"> has a</w:t>
            </w:r>
            <w:r w:rsidR="717B56FA" w:rsidRPr="006C2E5E">
              <w:rPr>
                <w:rFonts w:asciiTheme="minorHAnsi" w:hAnsiTheme="minorHAnsi" w:cstheme="minorHAnsi"/>
              </w:rPr>
              <w:t xml:space="preserve">n evolving portfolio of </w:t>
            </w:r>
            <w:r w:rsidR="5C34554E" w:rsidRPr="006C2E5E">
              <w:rPr>
                <w:rFonts w:asciiTheme="minorHAnsi" w:hAnsiTheme="minorHAnsi" w:cstheme="minorHAnsi"/>
              </w:rPr>
              <w:t>engagements;</w:t>
            </w:r>
            <w:r w:rsidR="055618AB" w:rsidRPr="006C2E5E">
              <w:rPr>
                <w:rFonts w:asciiTheme="minorHAnsi" w:hAnsiTheme="minorHAnsi" w:cstheme="minorHAnsi"/>
              </w:rPr>
              <w:t xml:space="preserve"> some are short-term </w:t>
            </w:r>
            <w:r w:rsidR="68B65843" w:rsidRPr="006C2E5E">
              <w:rPr>
                <w:rFonts w:asciiTheme="minorHAnsi" w:hAnsiTheme="minorHAnsi" w:cstheme="minorHAnsi"/>
              </w:rPr>
              <w:t xml:space="preserve">(few months) </w:t>
            </w:r>
            <w:r w:rsidR="055618AB" w:rsidRPr="006C2E5E">
              <w:rPr>
                <w:rFonts w:asciiTheme="minorHAnsi" w:hAnsiTheme="minorHAnsi" w:cstheme="minorHAnsi"/>
              </w:rPr>
              <w:t>and some are long-term</w:t>
            </w:r>
            <w:r w:rsidR="368FA741" w:rsidRPr="006C2E5E">
              <w:rPr>
                <w:rFonts w:asciiTheme="minorHAnsi" w:hAnsiTheme="minorHAnsi" w:cstheme="minorHAnsi"/>
              </w:rPr>
              <w:t xml:space="preserve"> (multi-year)</w:t>
            </w:r>
            <w:r w:rsidR="055618AB" w:rsidRPr="006C2E5E">
              <w:rPr>
                <w:rFonts w:asciiTheme="minorHAnsi" w:hAnsiTheme="minorHAnsi" w:cstheme="minorHAnsi"/>
              </w:rPr>
              <w:t xml:space="preserve">. Project assignments to consultants </w:t>
            </w:r>
            <w:r w:rsidR="25768B4E" w:rsidRPr="006C2E5E">
              <w:rPr>
                <w:rFonts w:asciiTheme="minorHAnsi" w:hAnsiTheme="minorHAnsi" w:cstheme="minorHAnsi"/>
              </w:rPr>
              <w:t>are</w:t>
            </w:r>
            <w:r w:rsidR="055618AB" w:rsidRPr="006C2E5E">
              <w:rPr>
                <w:rFonts w:asciiTheme="minorHAnsi" w:hAnsiTheme="minorHAnsi" w:cstheme="minorHAnsi"/>
              </w:rPr>
              <w:t xml:space="preserve"> based upon </w:t>
            </w:r>
            <w:r w:rsidR="0D18832F" w:rsidRPr="006C2E5E">
              <w:rPr>
                <w:rFonts w:asciiTheme="minorHAnsi" w:hAnsiTheme="minorHAnsi" w:cstheme="minorHAnsi"/>
              </w:rPr>
              <w:t xml:space="preserve">Success Measures, client and project needs throughout the lifecycle of our contract with our clients. </w:t>
            </w:r>
            <w:r w:rsidR="150CA856" w:rsidRPr="006C2E5E">
              <w:rPr>
                <w:rFonts w:asciiTheme="minorHAnsi" w:hAnsiTheme="minorHAnsi" w:cstheme="minorHAnsi"/>
              </w:rPr>
              <w:t xml:space="preserve">Receiving </w:t>
            </w:r>
            <w:r w:rsidR="364A85CE" w:rsidRPr="006C2E5E">
              <w:rPr>
                <w:rFonts w:asciiTheme="minorHAnsi" w:hAnsiTheme="minorHAnsi" w:cstheme="minorHAnsi"/>
              </w:rPr>
              <w:t>an award do</w:t>
            </w:r>
            <w:r w:rsidR="150CA856" w:rsidRPr="006C2E5E">
              <w:rPr>
                <w:rFonts w:asciiTheme="minorHAnsi" w:hAnsiTheme="minorHAnsi" w:cstheme="minorHAnsi"/>
              </w:rPr>
              <w:t>es not guarantee any project assignments</w:t>
            </w:r>
            <w:r w:rsidR="16A72F51" w:rsidRPr="006C2E5E">
              <w:rPr>
                <w:rFonts w:asciiTheme="minorHAnsi" w:hAnsiTheme="minorHAnsi" w:cstheme="minorHAnsi"/>
              </w:rPr>
              <w:t xml:space="preserve"> </w:t>
            </w:r>
            <w:r w:rsidR="5FC46489" w:rsidRPr="006C2E5E">
              <w:rPr>
                <w:rFonts w:asciiTheme="minorHAnsi" w:hAnsiTheme="minorHAnsi" w:cstheme="minorHAnsi"/>
              </w:rPr>
              <w:t>or</w:t>
            </w:r>
            <w:r w:rsidR="16A72F51" w:rsidRPr="006C2E5E">
              <w:rPr>
                <w:rFonts w:asciiTheme="minorHAnsi" w:hAnsiTheme="minorHAnsi" w:cstheme="minorHAnsi"/>
              </w:rPr>
              <w:t xml:space="preserve"> minimum award</w:t>
            </w:r>
            <w:r w:rsidR="150CA856" w:rsidRPr="006C2E5E">
              <w:rPr>
                <w:rFonts w:asciiTheme="minorHAnsi" w:hAnsiTheme="minorHAnsi" w:cstheme="minorHAnsi"/>
              </w:rPr>
              <w:t xml:space="preserve">. </w:t>
            </w:r>
          </w:p>
        </w:tc>
      </w:tr>
      <w:tr w:rsidR="001E6938" w:rsidRPr="00EF1DD7" w14:paraId="7B062395" w14:textId="77777777" w:rsidTr="398504A0">
        <w:tc>
          <w:tcPr>
            <w:tcW w:w="5212" w:type="dxa"/>
            <w:tcMar>
              <w:top w:w="0" w:type="dxa"/>
              <w:left w:w="108" w:type="dxa"/>
              <w:bottom w:w="0" w:type="dxa"/>
              <w:right w:w="108" w:type="dxa"/>
            </w:tcMar>
          </w:tcPr>
          <w:p w14:paraId="06BFEA73" w14:textId="2713704A"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lastRenderedPageBreak/>
              <w:t>Are there any past ranges of contract size (or "competitive ranges" as defined by NeighborWorks) that NeighborWorks can share?</w:t>
            </w:r>
          </w:p>
        </w:tc>
        <w:tc>
          <w:tcPr>
            <w:tcW w:w="4950" w:type="dxa"/>
            <w:tcMar>
              <w:top w:w="0" w:type="dxa"/>
              <w:left w:w="108" w:type="dxa"/>
              <w:bottom w:w="0" w:type="dxa"/>
              <w:right w:w="108" w:type="dxa"/>
            </w:tcMar>
          </w:tcPr>
          <w:p w14:paraId="0B91FF91" w14:textId="5657FF5E" w:rsidR="004F0025" w:rsidRPr="006C2E5E" w:rsidRDefault="005745EF" w:rsidP="006E6646">
            <w:pPr>
              <w:rPr>
                <w:rFonts w:asciiTheme="minorHAnsi" w:hAnsiTheme="minorHAnsi" w:cstheme="minorHAnsi"/>
              </w:rPr>
            </w:pPr>
            <w:r w:rsidRPr="00C41B92">
              <w:rPr>
                <w:rFonts w:asciiTheme="minorHAnsi" w:hAnsiTheme="minorHAnsi" w:cstheme="minorHAnsi"/>
              </w:rPr>
              <w:t>Offerors</w:t>
            </w:r>
            <w:r w:rsidR="0025264E" w:rsidRPr="00C41B92">
              <w:rPr>
                <w:rFonts w:asciiTheme="minorHAnsi" w:hAnsiTheme="minorHAnsi" w:cstheme="minorHAnsi"/>
              </w:rPr>
              <w:t xml:space="preserve"> are encouraged to submit their best pricing</w:t>
            </w:r>
            <w:r w:rsidR="006E6646" w:rsidRPr="00C41B92">
              <w:rPr>
                <w:rFonts w:asciiTheme="minorHAnsi" w:hAnsiTheme="minorHAnsi" w:cstheme="minorHAnsi"/>
              </w:rPr>
              <w:t>/daily rate</w:t>
            </w:r>
            <w:r w:rsidR="0025264E" w:rsidRPr="00C41B92">
              <w:rPr>
                <w:rFonts w:asciiTheme="minorHAnsi" w:hAnsiTheme="minorHAnsi" w:cstheme="minorHAnsi"/>
              </w:rPr>
              <w:t xml:space="preserve"> for each of the periods of performance.</w:t>
            </w:r>
          </w:p>
        </w:tc>
      </w:tr>
      <w:tr w:rsidR="001E6938" w:rsidRPr="00EF1DD7" w14:paraId="7DCDEB24" w14:textId="77777777" w:rsidTr="398504A0">
        <w:tc>
          <w:tcPr>
            <w:tcW w:w="5212" w:type="dxa"/>
            <w:tcMar>
              <w:top w:w="0" w:type="dxa"/>
              <w:left w:w="108" w:type="dxa"/>
              <w:bottom w:w="0" w:type="dxa"/>
              <w:right w:w="108" w:type="dxa"/>
            </w:tcMar>
          </w:tcPr>
          <w:p w14:paraId="2E391024" w14:textId="2FC795C9"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Are there expected to be reimbursable/pass through expense items? (for example, travelling for community engagement, accessing databases where necessary, etc.)</w:t>
            </w:r>
          </w:p>
        </w:tc>
        <w:tc>
          <w:tcPr>
            <w:tcW w:w="4950" w:type="dxa"/>
            <w:tcMar>
              <w:top w:w="0" w:type="dxa"/>
              <w:left w:w="108" w:type="dxa"/>
              <w:bottom w:w="0" w:type="dxa"/>
              <w:right w:w="108" w:type="dxa"/>
            </w:tcMar>
          </w:tcPr>
          <w:p w14:paraId="5E2CF55D" w14:textId="11D0738C" w:rsidR="001E6938" w:rsidRPr="006C2E5E" w:rsidRDefault="32CB52E5" w:rsidP="6DB4EBBA">
            <w:pPr>
              <w:rPr>
                <w:rFonts w:asciiTheme="minorHAnsi" w:hAnsiTheme="minorHAnsi" w:cstheme="minorHAnsi"/>
              </w:rPr>
            </w:pPr>
            <w:r w:rsidRPr="006C2E5E">
              <w:rPr>
                <w:rFonts w:asciiTheme="minorHAnsi" w:hAnsiTheme="minorHAnsi" w:cstheme="minorHAnsi"/>
              </w:rPr>
              <w:t>Some project engagements include those</w:t>
            </w:r>
            <w:r w:rsidR="35630FB5" w:rsidRPr="006C2E5E">
              <w:rPr>
                <w:rFonts w:asciiTheme="minorHAnsi" w:hAnsiTheme="minorHAnsi" w:cstheme="minorHAnsi"/>
              </w:rPr>
              <w:t xml:space="preserve"> expenses</w:t>
            </w:r>
            <w:r w:rsidRPr="006C2E5E">
              <w:rPr>
                <w:rFonts w:asciiTheme="minorHAnsi" w:hAnsiTheme="minorHAnsi" w:cstheme="minorHAnsi"/>
              </w:rPr>
              <w:t xml:space="preserve">, </w:t>
            </w:r>
            <w:r w:rsidR="4B40C2EC" w:rsidRPr="006C2E5E">
              <w:rPr>
                <w:rFonts w:asciiTheme="minorHAnsi" w:hAnsiTheme="minorHAnsi" w:cstheme="minorHAnsi"/>
              </w:rPr>
              <w:t xml:space="preserve">many </w:t>
            </w:r>
            <w:r w:rsidRPr="006C2E5E">
              <w:rPr>
                <w:rFonts w:asciiTheme="minorHAnsi" w:hAnsiTheme="minorHAnsi" w:cstheme="minorHAnsi"/>
              </w:rPr>
              <w:t xml:space="preserve">do not. </w:t>
            </w:r>
            <w:r w:rsidR="7AD3D3EF" w:rsidRPr="006C2E5E">
              <w:rPr>
                <w:rFonts w:asciiTheme="minorHAnsi" w:hAnsiTheme="minorHAnsi" w:cstheme="minorHAnsi"/>
              </w:rPr>
              <w:t>For the projects that include reimbursable/pass through expenses, those will be discussed and c</w:t>
            </w:r>
            <w:r w:rsidRPr="006C2E5E">
              <w:rPr>
                <w:rFonts w:asciiTheme="minorHAnsi" w:hAnsiTheme="minorHAnsi" w:cstheme="minorHAnsi"/>
              </w:rPr>
              <w:t>onsultants will be made aware of those</w:t>
            </w:r>
            <w:r w:rsidR="1460D7CC" w:rsidRPr="006C2E5E">
              <w:rPr>
                <w:rFonts w:asciiTheme="minorHAnsi" w:hAnsiTheme="minorHAnsi" w:cstheme="minorHAnsi"/>
              </w:rPr>
              <w:t xml:space="preserve">, they will be agreed upon </w:t>
            </w:r>
            <w:r w:rsidR="145DE449" w:rsidRPr="006C2E5E">
              <w:rPr>
                <w:rFonts w:asciiTheme="minorHAnsi" w:hAnsiTheme="minorHAnsi" w:cstheme="minorHAnsi"/>
              </w:rPr>
              <w:t xml:space="preserve">and outlined </w:t>
            </w:r>
            <w:r w:rsidR="53B91CD6" w:rsidRPr="006C2E5E">
              <w:rPr>
                <w:rFonts w:asciiTheme="minorHAnsi" w:hAnsiTheme="minorHAnsi" w:cstheme="minorHAnsi"/>
              </w:rPr>
              <w:t xml:space="preserve">clearly </w:t>
            </w:r>
            <w:r w:rsidR="145DE449" w:rsidRPr="006C2E5E">
              <w:rPr>
                <w:rFonts w:asciiTheme="minorHAnsi" w:hAnsiTheme="minorHAnsi" w:cstheme="minorHAnsi"/>
              </w:rPr>
              <w:t>in the task order</w:t>
            </w:r>
            <w:r w:rsidR="5117B378" w:rsidRPr="006C2E5E">
              <w:rPr>
                <w:rFonts w:asciiTheme="minorHAnsi" w:hAnsiTheme="minorHAnsi" w:cstheme="minorHAnsi"/>
              </w:rPr>
              <w:t xml:space="preserve"> if Success Measures and the Consultant mutually agree to move forward. </w:t>
            </w:r>
          </w:p>
        </w:tc>
      </w:tr>
      <w:tr w:rsidR="001E6938" w:rsidRPr="00EF1DD7" w14:paraId="1B0F886F" w14:textId="77777777" w:rsidTr="398504A0">
        <w:tc>
          <w:tcPr>
            <w:tcW w:w="5212" w:type="dxa"/>
            <w:tcMar>
              <w:top w:w="0" w:type="dxa"/>
              <w:left w:w="108" w:type="dxa"/>
              <w:bottom w:w="0" w:type="dxa"/>
              <w:right w:w="108" w:type="dxa"/>
            </w:tcMar>
          </w:tcPr>
          <w:p w14:paraId="1DDCD511" w14:textId="16C9FDC3"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Will each project have its own written scope, deliverables, and timeline before work begins?</w:t>
            </w:r>
          </w:p>
        </w:tc>
        <w:tc>
          <w:tcPr>
            <w:tcW w:w="4950" w:type="dxa"/>
            <w:tcMar>
              <w:top w:w="0" w:type="dxa"/>
              <w:left w:w="108" w:type="dxa"/>
              <w:bottom w:w="0" w:type="dxa"/>
              <w:right w:w="108" w:type="dxa"/>
            </w:tcMar>
          </w:tcPr>
          <w:p w14:paraId="3BE6A9DE" w14:textId="616B71C8" w:rsidR="001E6938" w:rsidRPr="006C2E5E" w:rsidRDefault="0797F489" w:rsidP="001E6938">
            <w:pPr>
              <w:rPr>
                <w:rFonts w:asciiTheme="minorHAnsi" w:hAnsiTheme="minorHAnsi" w:cstheme="minorHAnsi"/>
              </w:rPr>
            </w:pPr>
            <w:r w:rsidRPr="006C2E5E">
              <w:rPr>
                <w:rFonts w:asciiTheme="minorHAnsi" w:hAnsiTheme="minorHAnsi" w:cstheme="minorHAnsi"/>
              </w:rPr>
              <w:t xml:space="preserve">Yes. Each project has its own written scope, </w:t>
            </w:r>
            <w:r w:rsidR="6FD84AB5" w:rsidRPr="006C2E5E">
              <w:rPr>
                <w:rFonts w:asciiTheme="minorHAnsi" w:hAnsiTheme="minorHAnsi" w:cstheme="minorHAnsi"/>
              </w:rPr>
              <w:t>deliverables,</w:t>
            </w:r>
            <w:r w:rsidRPr="006C2E5E">
              <w:rPr>
                <w:rFonts w:asciiTheme="minorHAnsi" w:hAnsiTheme="minorHAnsi" w:cstheme="minorHAnsi"/>
              </w:rPr>
              <w:t xml:space="preserve"> and timelines. Each of these are discussed, shared, and negotiated with the consultant ahead of the engageme</w:t>
            </w:r>
            <w:r w:rsidR="0B9AAA5D" w:rsidRPr="006C2E5E">
              <w:rPr>
                <w:rFonts w:asciiTheme="minorHAnsi" w:hAnsiTheme="minorHAnsi" w:cstheme="minorHAnsi"/>
              </w:rPr>
              <w:t xml:space="preserve">nt so that expectations for everyone involved are clear. </w:t>
            </w:r>
          </w:p>
        </w:tc>
      </w:tr>
      <w:tr w:rsidR="001E6938" w:rsidRPr="00EF1DD7" w14:paraId="159BD28F" w14:textId="77777777" w:rsidTr="398504A0">
        <w:tc>
          <w:tcPr>
            <w:tcW w:w="5212" w:type="dxa"/>
            <w:tcMar>
              <w:top w:w="0" w:type="dxa"/>
              <w:left w:w="108" w:type="dxa"/>
              <w:bottom w:w="0" w:type="dxa"/>
              <w:right w:w="108" w:type="dxa"/>
            </w:tcMar>
          </w:tcPr>
          <w:p w14:paraId="088882B1" w14:textId="77777777" w:rsidR="001E6938" w:rsidRPr="00CA329C"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Will NeighborWorks consider a carve-out for the contractor's pre-existing materials (for example, methods, frameworks, tools, and templates developed before this contract)? Under this approach, NeighborWorks would own all deliverables and receive a non-exclusive, perpetual license to any pre-existing materials included in those deliverables.</w:t>
            </w:r>
          </w:p>
          <w:p w14:paraId="11E8226D" w14:textId="104CADF6" w:rsidR="00CA329C" w:rsidRPr="006C2E5E" w:rsidRDefault="00CA329C" w:rsidP="00CA329C">
            <w:pPr>
              <w:pStyle w:val="ListParagraph"/>
              <w:spacing w:after="120"/>
              <w:ind w:left="360"/>
              <w:rPr>
                <w:rFonts w:asciiTheme="minorHAnsi" w:hAnsiTheme="minorHAnsi" w:cstheme="minorHAnsi"/>
              </w:rPr>
            </w:pPr>
          </w:p>
        </w:tc>
        <w:tc>
          <w:tcPr>
            <w:tcW w:w="4950" w:type="dxa"/>
            <w:tcMar>
              <w:top w:w="0" w:type="dxa"/>
              <w:left w:w="108" w:type="dxa"/>
              <w:bottom w:w="0" w:type="dxa"/>
              <w:right w:w="108" w:type="dxa"/>
            </w:tcMar>
          </w:tcPr>
          <w:p w14:paraId="117D791C" w14:textId="2FB7D360" w:rsidR="00CA329C" w:rsidRPr="00864A5E" w:rsidRDefault="00CA329C" w:rsidP="00864A5E">
            <w:pPr>
              <w:spacing w:line="259" w:lineRule="auto"/>
              <w:rPr>
                <w:rFonts w:asciiTheme="minorHAnsi" w:hAnsiTheme="minorHAnsi" w:cstheme="minorHAnsi"/>
                <w:highlight w:val="yellow"/>
              </w:rPr>
            </w:pPr>
            <w:r w:rsidRPr="00560597">
              <w:rPr>
                <w:rFonts w:asciiTheme="minorHAnsi" w:hAnsiTheme="minorHAnsi" w:cstheme="minorHAnsi"/>
              </w:rPr>
              <w:t>Yes. NW will consider a carve-out for the Contractor’s pre-existing materials developed independently of this contract. The Contractor may retain ownership of such pre-existing materials; however, the Contractor shall grant NW free license</w:t>
            </w:r>
            <w:r w:rsidR="00864A5E" w:rsidRPr="00560597">
              <w:rPr>
                <w:rFonts w:asciiTheme="minorHAnsi" w:hAnsiTheme="minorHAnsi" w:cstheme="minorHAnsi"/>
              </w:rPr>
              <w:t>(s)</w:t>
            </w:r>
            <w:r w:rsidRPr="00560597">
              <w:rPr>
                <w:rFonts w:asciiTheme="minorHAnsi" w:hAnsiTheme="minorHAnsi" w:cstheme="minorHAnsi"/>
              </w:rPr>
              <w:t xml:space="preserve"> to use, reproduce, modify, and distribute such materials as necessary</w:t>
            </w:r>
            <w:r w:rsidR="00864A5E" w:rsidRPr="00560597">
              <w:rPr>
                <w:rFonts w:asciiTheme="minorHAnsi" w:hAnsiTheme="minorHAnsi" w:cstheme="minorHAnsi"/>
              </w:rPr>
              <w:t xml:space="preserve">. </w:t>
            </w:r>
            <w:r w:rsidRPr="00560597">
              <w:rPr>
                <w:rFonts w:asciiTheme="minorHAnsi" w:hAnsiTheme="minorHAnsi" w:cstheme="minorHAnsi"/>
              </w:rPr>
              <w:t>NW will retain ownership of all deliverables developed specifically under the contract</w:t>
            </w:r>
            <w:r w:rsidR="00864A5E" w:rsidRPr="00560597">
              <w:rPr>
                <w:rFonts w:asciiTheme="minorHAnsi" w:hAnsiTheme="minorHAnsi" w:cstheme="minorHAnsi"/>
              </w:rPr>
              <w:t>.</w:t>
            </w:r>
          </w:p>
        </w:tc>
      </w:tr>
      <w:tr w:rsidR="001E6938" w:rsidRPr="00EF1DD7" w14:paraId="75307161" w14:textId="77777777" w:rsidTr="398504A0">
        <w:tc>
          <w:tcPr>
            <w:tcW w:w="5212" w:type="dxa"/>
            <w:tcMar>
              <w:top w:w="0" w:type="dxa"/>
              <w:left w:w="108" w:type="dxa"/>
              <w:bottom w:w="0" w:type="dxa"/>
              <w:right w:w="108" w:type="dxa"/>
            </w:tcMar>
          </w:tcPr>
          <w:p w14:paraId="7E66C9F5" w14:textId="68BA76E1"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We understand that NeighborWorks will prioritize vendors with geographic presence and expertise in DC, Michigan, Minnesota, East Coast communities, Tribal communities, or comparable regions. Is it preferable for the contracting entity itself to be licensed/based in one of these locations, or is it sufficient to have individual members of a collective in one or more of these regions?</w:t>
            </w:r>
          </w:p>
        </w:tc>
        <w:tc>
          <w:tcPr>
            <w:tcW w:w="4950" w:type="dxa"/>
            <w:tcMar>
              <w:top w:w="0" w:type="dxa"/>
              <w:left w:w="108" w:type="dxa"/>
              <w:bottom w:w="0" w:type="dxa"/>
              <w:right w:w="108" w:type="dxa"/>
            </w:tcMar>
          </w:tcPr>
          <w:p w14:paraId="485EBAC8" w14:textId="17EFC173" w:rsidR="001E6938" w:rsidRPr="006C2E5E" w:rsidRDefault="4691EE6D" w:rsidP="6DB4EBBA">
            <w:pPr>
              <w:spacing w:line="259" w:lineRule="auto"/>
              <w:rPr>
                <w:rFonts w:asciiTheme="minorHAnsi" w:hAnsiTheme="minorHAnsi" w:cstheme="minorHAnsi"/>
              </w:rPr>
            </w:pPr>
            <w:r w:rsidRPr="006C2E5E">
              <w:rPr>
                <w:rFonts w:asciiTheme="minorHAnsi" w:hAnsiTheme="minorHAnsi" w:cstheme="minorHAnsi"/>
              </w:rPr>
              <w:t>To the extent that an applicant has a presence, expertise</w:t>
            </w:r>
            <w:r w:rsidR="2392EF69" w:rsidRPr="006C2E5E">
              <w:rPr>
                <w:rFonts w:asciiTheme="minorHAnsi" w:hAnsiTheme="minorHAnsi" w:cstheme="minorHAnsi"/>
              </w:rPr>
              <w:t xml:space="preserve">, or is </w:t>
            </w:r>
            <w:r w:rsidR="58E83943" w:rsidRPr="006C2E5E">
              <w:rPr>
                <w:rFonts w:asciiTheme="minorHAnsi" w:hAnsiTheme="minorHAnsi" w:cstheme="minorHAnsi"/>
              </w:rPr>
              <w:t>licensed</w:t>
            </w:r>
            <w:r w:rsidRPr="006C2E5E">
              <w:rPr>
                <w:rFonts w:asciiTheme="minorHAnsi" w:hAnsiTheme="minorHAnsi" w:cstheme="minorHAnsi"/>
              </w:rPr>
              <w:t xml:space="preserve"> in one</w:t>
            </w:r>
            <w:r w:rsidR="3AF20AE5" w:rsidRPr="006C2E5E">
              <w:rPr>
                <w:rFonts w:asciiTheme="minorHAnsi" w:hAnsiTheme="minorHAnsi" w:cstheme="minorHAnsi"/>
              </w:rPr>
              <w:t xml:space="preserve"> or more </w:t>
            </w:r>
            <w:r w:rsidRPr="006C2E5E">
              <w:rPr>
                <w:rFonts w:asciiTheme="minorHAnsi" w:hAnsiTheme="minorHAnsi" w:cstheme="minorHAnsi"/>
              </w:rPr>
              <w:t xml:space="preserve">of the locations, it would be </w:t>
            </w:r>
            <w:r w:rsidR="67883027" w:rsidRPr="006C2E5E">
              <w:rPr>
                <w:rFonts w:asciiTheme="minorHAnsi" w:hAnsiTheme="minorHAnsi" w:cstheme="minorHAnsi"/>
              </w:rPr>
              <w:t xml:space="preserve">most </w:t>
            </w:r>
            <w:r w:rsidRPr="006C2E5E">
              <w:rPr>
                <w:rFonts w:asciiTheme="minorHAnsi" w:hAnsiTheme="minorHAnsi" w:cstheme="minorHAnsi"/>
              </w:rPr>
              <w:t>useful to note it.</w:t>
            </w:r>
            <w:r w:rsidR="60414263" w:rsidRPr="006C2E5E">
              <w:rPr>
                <w:rFonts w:asciiTheme="minorHAnsi" w:hAnsiTheme="minorHAnsi" w:cstheme="minorHAnsi"/>
              </w:rPr>
              <w:t xml:space="preserve"> Different aspects </w:t>
            </w:r>
            <w:r w:rsidR="70EDCF47" w:rsidRPr="006C2E5E">
              <w:rPr>
                <w:rFonts w:asciiTheme="minorHAnsi" w:hAnsiTheme="minorHAnsi" w:cstheme="minorHAnsi"/>
              </w:rPr>
              <w:t xml:space="preserve">of these details </w:t>
            </w:r>
            <w:r w:rsidR="60414263" w:rsidRPr="006C2E5E">
              <w:rPr>
                <w:rFonts w:asciiTheme="minorHAnsi" w:hAnsiTheme="minorHAnsi" w:cstheme="minorHAnsi"/>
              </w:rPr>
              <w:t xml:space="preserve">have been relevant across </w:t>
            </w:r>
            <w:r w:rsidR="3CE3313A" w:rsidRPr="006C2E5E">
              <w:rPr>
                <w:rFonts w:asciiTheme="minorHAnsi" w:hAnsiTheme="minorHAnsi" w:cstheme="minorHAnsi"/>
              </w:rPr>
              <w:t xml:space="preserve">various Success Measures </w:t>
            </w:r>
            <w:r w:rsidR="60414263" w:rsidRPr="006C2E5E">
              <w:rPr>
                <w:rFonts w:asciiTheme="minorHAnsi" w:hAnsiTheme="minorHAnsi" w:cstheme="minorHAnsi"/>
              </w:rPr>
              <w:t xml:space="preserve">projects in </w:t>
            </w:r>
            <w:r w:rsidR="50C59FCD" w:rsidRPr="006C2E5E">
              <w:rPr>
                <w:rFonts w:asciiTheme="minorHAnsi" w:hAnsiTheme="minorHAnsi" w:cstheme="minorHAnsi"/>
              </w:rPr>
              <w:t xml:space="preserve">specific </w:t>
            </w:r>
            <w:r w:rsidR="60414263" w:rsidRPr="006C2E5E">
              <w:rPr>
                <w:rFonts w:asciiTheme="minorHAnsi" w:hAnsiTheme="minorHAnsi" w:cstheme="minorHAnsi"/>
              </w:rPr>
              <w:t>ways</w:t>
            </w:r>
            <w:r w:rsidR="7F2F4AE5" w:rsidRPr="006C2E5E">
              <w:rPr>
                <w:rFonts w:asciiTheme="minorHAnsi" w:hAnsiTheme="minorHAnsi" w:cstheme="minorHAnsi"/>
              </w:rPr>
              <w:t xml:space="preserve"> due to project requirements</w:t>
            </w:r>
            <w:r w:rsidR="60414263" w:rsidRPr="006C2E5E">
              <w:rPr>
                <w:rFonts w:asciiTheme="minorHAnsi" w:hAnsiTheme="minorHAnsi" w:cstheme="minorHAnsi"/>
              </w:rPr>
              <w:t xml:space="preserve">. </w:t>
            </w:r>
            <w:r w:rsidR="430C6ED4" w:rsidRPr="006C2E5E">
              <w:rPr>
                <w:rFonts w:asciiTheme="minorHAnsi" w:hAnsiTheme="minorHAnsi" w:cstheme="minorHAnsi"/>
              </w:rPr>
              <w:t>While the</w:t>
            </w:r>
            <w:r w:rsidR="0A472609" w:rsidRPr="006C2E5E">
              <w:rPr>
                <w:rFonts w:asciiTheme="minorHAnsi" w:hAnsiTheme="minorHAnsi" w:cstheme="minorHAnsi"/>
              </w:rPr>
              <w:t>s</w:t>
            </w:r>
            <w:r w:rsidR="430C6ED4" w:rsidRPr="006C2E5E">
              <w:rPr>
                <w:rFonts w:asciiTheme="minorHAnsi" w:hAnsiTheme="minorHAnsi" w:cstheme="minorHAnsi"/>
              </w:rPr>
              <w:t>e</w:t>
            </w:r>
            <w:r w:rsidR="30FC0FC9" w:rsidRPr="006C2E5E">
              <w:rPr>
                <w:rFonts w:asciiTheme="minorHAnsi" w:hAnsiTheme="minorHAnsi" w:cstheme="minorHAnsi"/>
              </w:rPr>
              <w:t xml:space="preserve"> are</w:t>
            </w:r>
            <w:r w:rsidR="6EB74BB9" w:rsidRPr="006C2E5E">
              <w:rPr>
                <w:rFonts w:asciiTheme="minorHAnsi" w:hAnsiTheme="minorHAnsi" w:cstheme="minorHAnsi"/>
              </w:rPr>
              <w:t xml:space="preserve"> noted</w:t>
            </w:r>
            <w:r w:rsidR="430C6ED4" w:rsidRPr="006C2E5E">
              <w:rPr>
                <w:rFonts w:asciiTheme="minorHAnsi" w:hAnsiTheme="minorHAnsi" w:cstheme="minorHAnsi"/>
              </w:rPr>
              <w:t xml:space="preserve"> areas of priority, they </w:t>
            </w:r>
            <w:r w:rsidR="706F6EAF" w:rsidRPr="006C2E5E">
              <w:rPr>
                <w:rFonts w:asciiTheme="minorHAnsi" w:hAnsiTheme="minorHAnsi" w:cstheme="minorHAnsi"/>
              </w:rPr>
              <w:t xml:space="preserve">should not be interpreted as </w:t>
            </w:r>
            <w:r w:rsidR="430C6ED4" w:rsidRPr="006C2E5E">
              <w:rPr>
                <w:rFonts w:asciiTheme="minorHAnsi" w:hAnsiTheme="minorHAnsi" w:cstheme="minorHAnsi"/>
              </w:rPr>
              <w:t>the full extent of our work</w:t>
            </w:r>
            <w:r w:rsidR="2933753B" w:rsidRPr="006C2E5E">
              <w:rPr>
                <w:rFonts w:asciiTheme="minorHAnsi" w:hAnsiTheme="minorHAnsi" w:cstheme="minorHAnsi"/>
              </w:rPr>
              <w:t xml:space="preserve"> no</w:t>
            </w:r>
            <w:r w:rsidR="504FC12C" w:rsidRPr="006C2E5E">
              <w:rPr>
                <w:rFonts w:asciiTheme="minorHAnsi" w:hAnsiTheme="minorHAnsi" w:cstheme="minorHAnsi"/>
              </w:rPr>
              <w:t>r</w:t>
            </w:r>
            <w:r w:rsidR="2933753B" w:rsidRPr="006C2E5E">
              <w:rPr>
                <w:rFonts w:asciiTheme="minorHAnsi" w:hAnsiTheme="minorHAnsi" w:cstheme="minorHAnsi"/>
              </w:rPr>
              <w:t xml:space="preserve"> this specific solicitation</w:t>
            </w:r>
            <w:r w:rsidR="430C6ED4" w:rsidRPr="006C2E5E">
              <w:rPr>
                <w:rFonts w:asciiTheme="minorHAnsi" w:hAnsiTheme="minorHAnsi" w:cstheme="minorHAnsi"/>
              </w:rPr>
              <w:t xml:space="preserve">. If </w:t>
            </w:r>
            <w:r w:rsidR="2B7F09DA" w:rsidRPr="006C2E5E">
              <w:rPr>
                <w:rFonts w:asciiTheme="minorHAnsi" w:hAnsiTheme="minorHAnsi" w:cstheme="minorHAnsi"/>
              </w:rPr>
              <w:t xml:space="preserve">a consultant </w:t>
            </w:r>
            <w:r w:rsidR="430C6ED4" w:rsidRPr="006C2E5E">
              <w:rPr>
                <w:rFonts w:asciiTheme="minorHAnsi" w:hAnsiTheme="minorHAnsi" w:cstheme="minorHAnsi"/>
              </w:rPr>
              <w:t xml:space="preserve">or firm is not based in, </w:t>
            </w:r>
            <w:r w:rsidR="0F6CF23E" w:rsidRPr="006C2E5E">
              <w:rPr>
                <w:rFonts w:asciiTheme="minorHAnsi" w:hAnsiTheme="minorHAnsi" w:cstheme="minorHAnsi"/>
              </w:rPr>
              <w:t>licensed</w:t>
            </w:r>
            <w:r w:rsidR="430C6ED4" w:rsidRPr="006C2E5E">
              <w:rPr>
                <w:rFonts w:asciiTheme="minorHAnsi" w:hAnsiTheme="minorHAnsi" w:cstheme="minorHAnsi"/>
              </w:rPr>
              <w:t xml:space="preserve"> in, or exper</w:t>
            </w:r>
            <w:r w:rsidR="29755D8C" w:rsidRPr="006C2E5E">
              <w:rPr>
                <w:rFonts w:asciiTheme="minorHAnsi" w:hAnsiTheme="minorHAnsi" w:cstheme="minorHAnsi"/>
              </w:rPr>
              <w:t xml:space="preserve">ienced </w:t>
            </w:r>
            <w:r w:rsidR="503440DE" w:rsidRPr="006C2E5E">
              <w:rPr>
                <w:rFonts w:asciiTheme="minorHAnsi" w:hAnsiTheme="minorHAnsi" w:cstheme="minorHAnsi"/>
              </w:rPr>
              <w:t>in</w:t>
            </w:r>
            <w:r w:rsidR="430C6ED4" w:rsidRPr="006C2E5E">
              <w:rPr>
                <w:rFonts w:asciiTheme="minorHAnsi" w:hAnsiTheme="minorHAnsi" w:cstheme="minorHAnsi"/>
              </w:rPr>
              <w:t xml:space="preserve"> one of these places, </w:t>
            </w:r>
            <w:r w:rsidR="5BEDAD82" w:rsidRPr="006C2E5E">
              <w:rPr>
                <w:rFonts w:asciiTheme="minorHAnsi" w:hAnsiTheme="minorHAnsi" w:cstheme="minorHAnsi"/>
              </w:rPr>
              <w:t xml:space="preserve">you are </w:t>
            </w:r>
            <w:r w:rsidR="430C6ED4" w:rsidRPr="006C2E5E">
              <w:rPr>
                <w:rFonts w:asciiTheme="minorHAnsi" w:hAnsiTheme="minorHAnsi" w:cstheme="minorHAnsi"/>
              </w:rPr>
              <w:t>encourage</w:t>
            </w:r>
            <w:r w:rsidR="33092722" w:rsidRPr="006C2E5E">
              <w:rPr>
                <w:rFonts w:asciiTheme="minorHAnsi" w:hAnsiTheme="minorHAnsi" w:cstheme="minorHAnsi"/>
              </w:rPr>
              <w:t>d and eligible</w:t>
            </w:r>
            <w:r w:rsidR="430C6ED4" w:rsidRPr="006C2E5E">
              <w:rPr>
                <w:rFonts w:asciiTheme="minorHAnsi" w:hAnsiTheme="minorHAnsi" w:cstheme="minorHAnsi"/>
              </w:rPr>
              <w:t xml:space="preserve"> to apply. </w:t>
            </w:r>
          </w:p>
        </w:tc>
      </w:tr>
      <w:tr w:rsidR="001E6938" w:rsidRPr="008539D0" w14:paraId="1D95D6F8" w14:textId="77777777" w:rsidTr="398504A0">
        <w:tc>
          <w:tcPr>
            <w:tcW w:w="5212" w:type="dxa"/>
            <w:tcMar>
              <w:top w:w="0" w:type="dxa"/>
              <w:left w:w="108" w:type="dxa"/>
              <w:bottom w:w="0" w:type="dxa"/>
              <w:right w:w="108" w:type="dxa"/>
            </w:tcMar>
          </w:tcPr>
          <w:p w14:paraId="6E9B0CB2" w14:textId="546F7EA3"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Will NeighborWorks consider capping the contractor's total liability at the amount paid under the contract or the applicable task order?</w:t>
            </w:r>
          </w:p>
        </w:tc>
        <w:tc>
          <w:tcPr>
            <w:tcW w:w="4950" w:type="dxa"/>
            <w:tcMar>
              <w:top w:w="0" w:type="dxa"/>
              <w:left w:w="108" w:type="dxa"/>
              <w:bottom w:w="0" w:type="dxa"/>
              <w:right w:w="108" w:type="dxa"/>
            </w:tcMar>
          </w:tcPr>
          <w:p w14:paraId="4D42FAA1" w14:textId="19140EEF" w:rsidR="006B462B" w:rsidRPr="009809AE" w:rsidRDefault="00606AF2" w:rsidP="00153E29">
            <w:pPr>
              <w:rPr>
                <w:rFonts w:asciiTheme="minorHAnsi" w:hAnsiTheme="minorHAnsi" w:cstheme="minorHAnsi"/>
              </w:rPr>
            </w:pPr>
            <w:r w:rsidRPr="00606AF2">
              <w:rPr>
                <w:rFonts w:asciiTheme="minorHAnsi" w:hAnsiTheme="minorHAnsi" w:cstheme="minorHAnsi"/>
              </w:rPr>
              <w:t xml:space="preserve">NeighborWorks is open to considering a reasonable limitation of the contractor’s total liability, depending on the nature and scope of the services performed. Any limitation of liability would be subject to review and approval by NeighborWorks and may include exceptions for negligence or other </w:t>
            </w:r>
            <w:r w:rsidRPr="00606AF2">
              <w:rPr>
                <w:rFonts w:asciiTheme="minorHAnsi" w:hAnsiTheme="minorHAnsi" w:cstheme="minorHAnsi"/>
              </w:rPr>
              <w:lastRenderedPageBreak/>
              <w:t>specified circumstances. Offerors proposing a limitation of liability should submit suggested revisions to the contract language for NeighborWorks’ consideration.</w:t>
            </w:r>
          </w:p>
        </w:tc>
      </w:tr>
      <w:tr w:rsidR="001E6938" w:rsidRPr="008539D0" w14:paraId="20E8EB7D" w14:textId="77777777" w:rsidTr="398504A0">
        <w:tc>
          <w:tcPr>
            <w:tcW w:w="5212" w:type="dxa"/>
            <w:tcMar>
              <w:top w:w="0" w:type="dxa"/>
              <w:left w:w="108" w:type="dxa"/>
              <w:bottom w:w="0" w:type="dxa"/>
              <w:right w:w="108" w:type="dxa"/>
            </w:tcMar>
          </w:tcPr>
          <w:p w14:paraId="1F4C5609" w14:textId="545A1871"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lastRenderedPageBreak/>
              <w:t>Can the indemnification clause be limited to claims arising from the contractor's own negligence, willful misconduct, or breach of contract?</w:t>
            </w:r>
          </w:p>
        </w:tc>
        <w:tc>
          <w:tcPr>
            <w:tcW w:w="4950" w:type="dxa"/>
            <w:tcMar>
              <w:top w:w="0" w:type="dxa"/>
              <w:left w:w="108" w:type="dxa"/>
              <w:bottom w:w="0" w:type="dxa"/>
              <w:right w:w="108" w:type="dxa"/>
            </w:tcMar>
          </w:tcPr>
          <w:p w14:paraId="4E8D61AC" w14:textId="586A0C7C" w:rsidR="001E6938" w:rsidRPr="00606AF2" w:rsidRDefault="006B462B" w:rsidP="00153E29">
            <w:pPr>
              <w:rPr>
                <w:rFonts w:asciiTheme="minorHAnsi" w:hAnsiTheme="minorHAnsi" w:cstheme="minorHAnsi"/>
              </w:rPr>
            </w:pPr>
            <w:r w:rsidRPr="00606AF2">
              <w:rPr>
                <w:rFonts w:asciiTheme="minorHAnsi" w:hAnsiTheme="minorHAnsi" w:cstheme="minorHAnsi"/>
              </w:rPr>
              <w:t>The indemnification provision will remain as stated in the solicitation and is not subject to modification</w:t>
            </w:r>
            <w:r w:rsidR="00714825" w:rsidRPr="00606AF2">
              <w:rPr>
                <w:rFonts w:asciiTheme="minorHAnsi" w:hAnsiTheme="minorHAnsi" w:cstheme="minorHAnsi"/>
              </w:rPr>
              <w:t xml:space="preserve"> during the solicitation phase</w:t>
            </w:r>
            <w:r w:rsidRPr="00606AF2">
              <w:rPr>
                <w:rFonts w:asciiTheme="minorHAnsi" w:hAnsiTheme="minorHAnsi" w:cstheme="minorHAnsi"/>
              </w:rPr>
              <w:t xml:space="preserve">. </w:t>
            </w:r>
          </w:p>
        </w:tc>
      </w:tr>
      <w:tr w:rsidR="001E6938" w:rsidRPr="00EF1DD7" w14:paraId="4C633429" w14:textId="77777777" w:rsidTr="00120A8B">
        <w:tc>
          <w:tcPr>
            <w:tcW w:w="5212" w:type="dxa"/>
            <w:tcMar>
              <w:top w:w="0" w:type="dxa"/>
              <w:left w:w="108" w:type="dxa"/>
              <w:bottom w:w="0" w:type="dxa"/>
              <w:right w:w="108" w:type="dxa"/>
            </w:tcMar>
          </w:tcPr>
          <w:p w14:paraId="26629C8C" w14:textId="1F68901A"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If NeighborWorks terminates for convenience, will the contractor be paid for all work completed and expenses incurred through the termination date?</w:t>
            </w:r>
          </w:p>
        </w:tc>
        <w:tc>
          <w:tcPr>
            <w:tcW w:w="4950" w:type="dxa"/>
            <w:shd w:val="clear" w:color="auto" w:fill="FFFFFF" w:themeFill="background1"/>
            <w:tcMar>
              <w:top w:w="0" w:type="dxa"/>
              <w:left w:w="108" w:type="dxa"/>
              <w:bottom w:w="0" w:type="dxa"/>
              <w:right w:w="108" w:type="dxa"/>
            </w:tcMar>
          </w:tcPr>
          <w:p w14:paraId="301C6533" w14:textId="5984D847" w:rsidR="001E6938" w:rsidRPr="00120A8B" w:rsidRDefault="00120A8B" w:rsidP="2DEBFC72">
            <w:pPr>
              <w:rPr>
                <w:rFonts w:asciiTheme="minorHAnsi" w:hAnsiTheme="minorHAnsi" w:cstheme="minorHAnsi"/>
                <w:color w:val="000000" w:themeColor="text1"/>
              </w:rPr>
            </w:pPr>
            <w:r w:rsidRPr="00606AF2">
              <w:rPr>
                <w:rFonts w:asciiTheme="minorHAnsi" w:hAnsiTheme="minorHAnsi" w:cstheme="minorHAnsi"/>
                <w:color w:val="000000" w:themeColor="text1"/>
              </w:rPr>
              <w:t xml:space="preserve">Yes. Offerors will be paid for all work requested, satisfactorily completed and </w:t>
            </w:r>
            <w:r w:rsidR="00606AF2" w:rsidRPr="00606AF2">
              <w:rPr>
                <w:rFonts w:asciiTheme="minorHAnsi" w:hAnsiTheme="minorHAnsi" w:cstheme="minorHAnsi"/>
                <w:color w:val="000000" w:themeColor="text1"/>
              </w:rPr>
              <w:t>accurately</w:t>
            </w:r>
            <w:r w:rsidRPr="00606AF2">
              <w:rPr>
                <w:rFonts w:asciiTheme="minorHAnsi" w:hAnsiTheme="minorHAnsi" w:cstheme="minorHAnsi"/>
                <w:color w:val="000000" w:themeColor="text1"/>
              </w:rPr>
              <w:t xml:space="preserve"> invoiced during the active period of performance of a contract.</w:t>
            </w:r>
          </w:p>
        </w:tc>
      </w:tr>
      <w:tr w:rsidR="001E6938" w:rsidRPr="008539D0" w14:paraId="65ADC266" w14:textId="77777777" w:rsidTr="398504A0">
        <w:tc>
          <w:tcPr>
            <w:tcW w:w="5212" w:type="dxa"/>
            <w:shd w:val="clear" w:color="auto" w:fill="FFFFFF" w:themeFill="background1"/>
            <w:tcMar>
              <w:top w:w="0" w:type="dxa"/>
              <w:left w:w="108" w:type="dxa"/>
              <w:bottom w:w="0" w:type="dxa"/>
              <w:right w:w="108" w:type="dxa"/>
            </w:tcMar>
          </w:tcPr>
          <w:p w14:paraId="2BE4367E" w14:textId="096D0240"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If a proposal names subcontractors and their roles, will NeighborWorks' acceptance of the proposal count as prior written approval of those subcontractors?</w:t>
            </w:r>
          </w:p>
        </w:tc>
        <w:tc>
          <w:tcPr>
            <w:tcW w:w="4950" w:type="dxa"/>
            <w:shd w:val="clear" w:color="auto" w:fill="FFFFFF" w:themeFill="background1"/>
            <w:tcMar>
              <w:top w:w="0" w:type="dxa"/>
              <w:left w:w="108" w:type="dxa"/>
              <w:bottom w:w="0" w:type="dxa"/>
              <w:right w:w="108" w:type="dxa"/>
            </w:tcMar>
          </w:tcPr>
          <w:p w14:paraId="6D0B4D9F" w14:textId="389F3E88" w:rsidR="001E6938" w:rsidRPr="006C2E5E" w:rsidRDefault="00606AF2" w:rsidP="2DEBFC72">
            <w:pPr>
              <w:rPr>
                <w:rFonts w:asciiTheme="minorHAnsi" w:hAnsiTheme="minorHAnsi" w:cstheme="minorHAnsi"/>
                <w:color w:val="FF0000"/>
              </w:rPr>
            </w:pPr>
            <w:r w:rsidRPr="00606AF2">
              <w:rPr>
                <w:rFonts w:asciiTheme="minorHAnsi" w:hAnsiTheme="minorHAnsi" w:cstheme="minorHAnsi"/>
              </w:rPr>
              <w:t>Yes</w:t>
            </w:r>
            <w:r>
              <w:rPr>
                <w:rFonts w:asciiTheme="minorHAnsi" w:hAnsiTheme="minorHAnsi" w:cstheme="minorHAnsi"/>
              </w:rPr>
              <w:t>, NW will accept that as approval</w:t>
            </w:r>
            <w:r w:rsidRPr="00606AF2">
              <w:rPr>
                <w:rFonts w:asciiTheme="minorHAnsi" w:hAnsiTheme="minorHAnsi" w:cstheme="minorHAnsi"/>
              </w:rPr>
              <w:t>. However, NeighborWorks America does not engage with subcontractors. Any failure from the subcontractor, the prime contractor will be responsible.</w:t>
            </w:r>
          </w:p>
        </w:tc>
      </w:tr>
      <w:tr w:rsidR="001E6938" w:rsidRPr="00EF1DD7" w14:paraId="7A50A5FA" w14:textId="77777777" w:rsidTr="398504A0">
        <w:tc>
          <w:tcPr>
            <w:tcW w:w="5212" w:type="dxa"/>
            <w:tcMar>
              <w:top w:w="0" w:type="dxa"/>
              <w:left w:w="108" w:type="dxa"/>
              <w:bottom w:w="0" w:type="dxa"/>
              <w:right w:w="108" w:type="dxa"/>
            </w:tcMar>
          </w:tcPr>
          <w:p w14:paraId="2FDFF729" w14:textId="35FC0BB2"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May the contractor reference the engagement and describe the general nature of the work in its portfolio and marketing materials, without disclosing confidential or protected information?</w:t>
            </w:r>
          </w:p>
        </w:tc>
        <w:tc>
          <w:tcPr>
            <w:tcW w:w="4950" w:type="dxa"/>
            <w:tcMar>
              <w:top w:w="0" w:type="dxa"/>
              <w:left w:w="108" w:type="dxa"/>
              <w:bottom w:w="0" w:type="dxa"/>
              <w:right w:w="108" w:type="dxa"/>
            </w:tcMar>
          </w:tcPr>
          <w:p w14:paraId="3E19AEB8" w14:textId="5DEE79D4" w:rsidR="001E6938" w:rsidRPr="00606AF2" w:rsidRDefault="00606AF2" w:rsidP="00153E29">
            <w:pPr>
              <w:rPr>
                <w:rFonts w:asciiTheme="minorHAnsi" w:hAnsiTheme="minorHAnsi" w:cstheme="minorHAnsi"/>
              </w:rPr>
            </w:pPr>
            <w:r w:rsidRPr="00606AF2">
              <w:rPr>
                <w:rFonts w:asciiTheme="minorHAnsi" w:hAnsiTheme="minorHAnsi" w:cstheme="minorHAnsi"/>
                <w:color w:val="000000" w:themeColor="text1"/>
              </w:rPr>
              <w:t>No. Contractors may not use its contracted work for promotional or marketing purposes.</w:t>
            </w:r>
            <w:r w:rsidR="007B03FE" w:rsidRPr="00606AF2">
              <w:rPr>
                <w:rFonts w:asciiTheme="minorHAnsi" w:hAnsiTheme="minorHAnsi" w:cstheme="minorHAnsi"/>
                <w:color w:val="000000" w:themeColor="text1"/>
              </w:rPr>
              <w:t xml:space="preserve"> </w:t>
            </w:r>
          </w:p>
        </w:tc>
      </w:tr>
      <w:tr w:rsidR="001E6938" w:rsidRPr="00EF1DD7" w14:paraId="4F0BAD9A" w14:textId="77777777" w:rsidTr="398504A0">
        <w:tc>
          <w:tcPr>
            <w:tcW w:w="5212" w:type="dxa"/>
            <w:tcMar>
              <w:top w:w="0" w:type="dxa"/>
              <w:left w:w="108" w:type="dxa"/>
              <w:bottom w:w="0" w:type="dxa"/>
              <w:right w:w="108" w:type="dxa"/>
            </w:tcMar>
          </w:tcPr>
          <w:p w14:paraId="1439A9B0" w14:textId="21597938"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Please clarify what is intended by “Engagements may include larger projects delivered on planned timelines as “on call” editorial support for smaller projects. How is “on call” defined? </w:t>
            </w:r>
          </w:p>
        </w:tc>
        <w:tc>
          <w:tcPr>
            <w:tcW w:w="4950" w:type="dxa"/>
            <w:tcMar>
              <w:top w:w="0" w:type="dxa"/>
              <w:left w:w="108" w:type="dxa"/>
              <w:bottom w:w="0" w:type="dxa"/>
              <w:right w:w="108" w:type="dxa"/>
            </w:tcMar>
          </w:tcPr>
          <w:p w14:paraId="032F7798" w14:textId="75446AAF" w:rsidR="001E6938" w:rsidRPr="006C2E5E" w:rsidRDefault="00B46F1B" w:rsidP="001E6938">
            <w:pPr>
              <w:rPr>
                <w:rFonts w:asciiTheme="minorHAnsi" w:hAnsiTheme="minorHAnsi" w:cstheme="minorHAnsi"/>
              </w:rPr>
            </w:pPr>
            <w:r w:rsidRPr="006C2E5E">
              <w:rPr>
                <w:rFonts w:asciiTheme="minorHAnsi" w:hAnsiTheme="minorHAnsi" w:cstheme="minorHAnsi"/>
              </w:rPr>
              <w:t>Success Measures makes every effort to plan in advance for all projects</w:t>
            </w:r>
            <w:r w:rsidR="007A5B7B" w:rsidRPr="006C2E5E">
              <w:rPr>
                <w:rFonts w:asciiTheme="minorHAnsi" w:hAnsiTheme="minorHAnsi" w:cstheme="minorHAnsi"/>
              </w:rPr>
              <w:t xml:space="preserve">. However </w:t>
            </w:r>
            <w:r w:rsidR="00B6271F" w:rsidRPr="006C2E5E">
              <w:rPr>
                <w:rFonts w:asciiTheme="minorHAnsi" w:hAnsiTheme="minorHAnsi" w:cstheme="minorHAnsi"/>
              </w:rPr>
              <w:t>“</w:t>
            </w:r>
            <w:r w:rsidR="007A5B7B" w:rsidRPr="006C2E5E">
              <w:rPr>
                <w:rFonts w:asciiTheme="minorHAnsi" w:hAnsiTheme="minorHAnsi" w:cstheme="minorHAnsi"/>
              </w:rPr>
              <w:t>o</w:t>
            </w:r>
            <w:r w:rsidR="00B6271F" w:rsidRPr="006C2E5E">
              <w:rPr>
                <w:rFonts w:asciiTheme="minorHAnsi" w:hAnsiTheme="minorHAnsi" w:cstheme="minorHAnsi"/>
              </w:rPr>
              <w:t xml:space="preserve">n call” </w:t>
            </w:r>
            <w:r w:rsidR="00741298" w:rsidRPr="006C2E5E">
              <w:rPr>
                <w:rFonts w:asciiTheme="minorHAnsi" w:hAnsiTheme="minorHAnsi" w:cstheme="minorHAnsi"/>
              </w:rPr>
              <w:t>opportunities may arise during an engagement</w:t>
            </w:r>
            <w:r w:rsidR="007A5B7B" w:rsidRPr="006C2E5E">
              <w:rPr>
                <w:rFonts w:asciiTheme="minorHAnsi" w:hAnsiTheme="minorHAnsi" w:cstheme="minorHAnsi"/>
              </w:rPr>
              <w:t xml:space="preserve"> </w:t>
            </w:r>
            <w:r w:rsidR="009647D2" w:rsidRPr="006C2E5E">
              <w:rPr>
                <w:rFonts w:asciiTheme="minorHAnsi" w:hAnsiTheme="minorHAnsi" w:cstheme="minorHAnsi"/>
              </w:rPr>
              <w:t xml:space="preserve">that were not anticipated at the outset. In that case, </w:t>
            </w:r>
            <w:r w:rsidR="007A5B7B" w:rsidRPr="006C2E5E">
              <w:rPr>
                <w:rFonts w:asciiTheme="minorHAnsi" w:hAnsiTheme="minorHAnsi" w:cstheme="minorHAnsi"/>
              </w:rPr>
              <w:t xml:space="preserve">a smaller, </w:t>
            </w:r>
            <w:r w:rsidR="009647D2" w:rsidRPr="006C2E5E">
              <w:rPr>
                <w:rFonts w:asciiTheme="minorHAnsi" w:hAnsiTheme="minorHAnsi" w:cstheme="minorHAnsi"/>
              </w:rPr>
              <w:t xml:space="preserve">more </w:t>
            </w:r>
            <w:r w:rsidR="007A5B7B" w:rsidRPr="006C2E5E">
              <w:rPr>
                <w:rFonts w:asciiTheme="minorHAnsi" w:hAnsiTheme="minorHAnsi" w:cstheme="minorHAnsi"/>
              </w:rPr>
              <w:t>specific</w:t>
            </w:r>
            <w:r w:rsidR="00305D04" w:rsidRPr="006C2E5E">
              <w:rPr>
                <w:rFonts w:asciiTheme="minorHAnsi" w:hAnsiTheme="minorHAnsi" w:cstheme="minorHAnsi"/>
              </w:rPr>
              <w:t xml:space="preserve">, </w:t>
            </w:r>
            <w:r w:rsidR="00DD768E" w:rsidRPr="006C2E5E">
              <w:rPr>
                <w:rFonts w:asciiTheme="minorHAnsi" w:hAnsiTheme="minorHAnsi" w:cstheme="minorHAnsi"/>
              </w:rPr>
              <w:t xml:space="preserve">time-constrained scope of work may be developed for a consultant to </w:t>
            </w:r>
            <w:r w:rsidR="00F632B9" w:rsidRPr="006C2E5E">
              <w:rPr>
                <w:rFonts w:asciiTheme="minorHAnsi" w:hAnsiTheme="minorHAnsi" w:cstheme="minorHAnsi"/>
              </w:rPr>
              <w:t xml:space="preserve">consider and execute. </w:t>
            </w:r>
          </w:p>
        </w:tc>
      </w:tr>
      <w:tr w:rsidR="001E6938" w:rsidRPr="00EF1DD7" w14:paraId="3EFDD726" w14:textId="77777777" w:rsidTr="398504A0">
        <w:tc>
          <w:tcPr>
            <w:tcW w:w="5212" w:type="dxa"/>
            <w:tcMar>
              <w:top w:w="0" w:type="dxa"/>
              <w:left w:w="108" w:type="dxa"/>
              <w:bottom w:w="0" w:type="dxa"/>
              <w:right w:w="108" w:type="dxa"/>
            </w:tcMar>
          </w:tcPr>
          <w:p w14:paraId="40517A7A" w14:textId="008C0CC0"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Are there incumbent partners, teams or organizations currently working on the project?  If so, who are they?</w:t>
            </w:r>
          </w:p>
        </w:tc>
        <w:tc>
          <w:tcPr>
            <w:tcW w:w="4950" w:type="dxa"/>
            <w:tcMar>
              <w:top w:w="0" w:type="dxa"/>
              <w:left w:w="108" w:type="dxa"/>
              <w:bottom w:w="0" w:type="dxa"/>
              <w:right w:w="108" w:type="dxa"/>
            </w:tcMar>
          </w:tcPr>
          <w:p w14:paraId="10D4639A" w14:textId="3B490A72" w:rsidR="001E6938" w:rsidRPr="006C2E5E" w:rsidRDefault="1E6EA695" w:rsidP="6DB4EBBA">
            <w:pPr>
              <w:rPr>
                <w:rFonts w:asciiTheme="minorHAnsi" w:hAnsiTheme="minorHAnsi" w:cstheme="minorHAnsi"/>
              </w:rPr>
            </w:pPr>
            <w:r w:rsidRPr="006C2E5E">
              <w:rPr>
                <w:rFonts w:asciiTheme="minorHAnsi" w:hAnsiTheme="minorHAnsi" w:cstheme="minorHAnsi"/>
              </w:rPr>
              <w:t xml:space="preserve">This solicitation is not for any one specific project. </w:t>
            </w:r>
            <w:r w:rsidR="3FBE6FD3" w:rsidRPr="006C2E5E">
              <w:rPr>
                <w:rFonts w:asciiTheme="minorHAnsi" w:eastAsia="Segoe UI" w:hAnsiTheme="minorHAnsi" w:cstheme="minorHAnsi"/>
              </w:rPr>
              <w:t>Rather, it is for interested and qualified consultants to apply to be part of our pool of consultants. We draw from this pool to deliver services on contracted consulting efforts</w:t>
            </w:r>
            <w:r w:rsidR="29CDEF01" w:rsidRPr="006C2E5E">
              <w:rPr>
                <w:rFonts w:asciiTheme="minorHAnsi" w:eastAsia="Segoe UI" w:hAnsiTheme="minorHAnsi" w:cstheme="minorHAnsi"/>
              </w:rPr>
              <w:t xml:space="preserve"> and </w:t>
            </w:r>
            <w:r w:rsidR="7D2FD13F" w:rsidRPr="006C2E5E">
              <w:rPr>
                <w:rFonts w:asciiTheme="minorHAnsi" w:eastAsia="Segoe UI" w:hAnsiTheme="minorHAnsi" w:cstheme="minorHAnsi"/>
              </w:rPr>
              <w:t>sometimes to build t</w:t>
            </w:r>
            <w:r w:rsidR="3FBE6FD3" w:rsidRPr="006C2E5E">
              <w:rPr>
                <w:rFonts w:asciiTheme="minorHAnsi" w:eastAsia="Segoe UI" w:hAnsiTheme="minorHAnsi" w:cstheme="minorHAnsi"/>
              </w:rPr>
              <w:t>eams</w:t>
            </w:r>
            <w:r w:rsidR="100C027E" w:rsidRPr="006C2E5E">
              <w:rPr>
                <w:rFonts w:asciiTheme="minorHAnsi" w:eastAsia="Segoe UI" w:hAnsiTheme="minorHAnsi" w:cstheme="minorHAnsi"/>
              </w:rPr>
              <w:t xml:space="preserve"> to support the </w:t>
            </w:r>
            <w:r w:rsidR="5CD16941" w:rsidRPr="006C2E5E">
              <w:rPr>
                <w:rFonts w:asciiTheme="minorHAnsi" w:eastAsia="Segoe UI" w:hAnsiTheme="minorHAnsi" w:cstheme="minorHAnsi"/>
              </w:rPr>
              <w:t>scope of services required by our contracted work for</w:t>
            </w:r>
            <w:r w:rsidR="100C027E" w:rsidRPr="006C2E5E">
              <w:rPr>
                <w:rFonts w:asciiTheme="minorHAnsi" w:eastAsia="Segoe UI" w:hAnsiTheme="minorHAnsi" w:cstheme="minorHAnsi"/>
              </w:rPr>
              <w:t xml:space="preserve"> clients. </w:t>
            </w:r>
          </w:p>
        </w:tc>
      </w:tr>
      <w:tr w:rsidR="001E6938" w:rsidRPr="00EF1DD7" w14:paraId="335C8DDB" w14:textId="77777777" w:rsidTr="398504A0">
        <w:tc>
          <w:tcPr>
            <w:tcW w:w="5212" w:type="dxa"/>
            <w:tcMar>
              <w:top w:w="0" w:type="dxa"/>
              <w:left w:w="108" w:type="dxa"/>
              <w:bottom w:w="0" w:type="dxa"/>
              <w:right w:w="108" w:type="dxa"/>
            </w:tcMar>
          </w:tcPr>
          <w:p w14:paraId="1149B6A0" w14:textId="17D1C618"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What is NeighborWorks’ standard deliverable format? Would it be up to the consultant? (Report, deck, presentation…)</w:t>
            </w:r>
          </w:p>
        </w:tc>
        <w:tc>
          <w:tcPr>
            <w:tcW w:w="4950" w:type="dxa"/>
            <w:tcMar>
              <w:top w:w="0" w:type="dxa"/>
              <w:left w:w="108" w:type="dxa"/>
              <w:bottom w:w="0" w:type="dxa"/>
              <w:right w:w="108" w:type="dxa"/>
            </w:tcMar>
          </w:tcPr>
          <w:p w14:paraId="53EFD8CA" w14:textId="51EB38E2" w:rsidR="001E6938" w:rsidRPr="006C2E5E" w:rsidRDefault="4351DDBF" w:rsidP="6DB4EBBA">
            <w:pPr>
              <w:rPr>
                <w:rFonts w:asciiTheme="minorHAnsi" w:hAnsiTheme="minorHAnsi" w:cstheme="minorHAnsi"/>
              </w:rPr>
            </w:pPr>
            <w:r w:rsidRPr="006C2E5E">
              <w:rPr>
                <w:rFonts w:asciiTheme="minorHAnsi" w:hAnsiTheme="minorHAnsi" w:cstheme="minorHAnsi"/>
              </w:rPr>
              <w:t>The deliverable(s) for any given task order will be based on the needs of</w:t>
            </w:r>
            <w:r w:rsidR="4DC189F7" w:rsidRPr="006C2E5E">
              <w:rPr>
                <w:rFonts w:asciiTheme="minorHAnsi" w:hAnsiTheme="minorHAnsi" w:cstheme="minorHAnsi"/>
              </w:rPr>
              <w:t>,</w:t>
            </w:r>
            <w:r w:rsidRPr="006C2E5E">
              <w:rPr>
                <w:rFonts w:asciiTheme="minorHAnsi" w:hAnsiTheme="minorHAnsi" w:cstheme="minorHAnsi"/>
              </w:rPr>
              <w:t xml:space="preserve"> </w:t>
            </w:r>
            <w:r w:rsidR="07A0E812" w:rsidRPr="006C2E5E">
              <w:rPr>
                <w:rFonts w:asciiTheme="minorHAnsi" w:hAnsiTheme="minorHAnsi" w:cstheme="minorHAnsi"/>
              </w:rPr>
              <w:t>and in conversation with</w:t>
            </w:r>
            <w:r w:rsidR="38C0D1D9" w:rsidRPr="006C2E5E">
              <w:rPr>
                <w:rFonts w:asciiTheme="minorHAnsi" w:hAnsiTheme="minorHAnsi" w:cstheme="minorHAnsi"/>
              </w:rPr>
              <w:t>,</w:t>
            </w:r>
            <w:r w:rsidR="07A0E812" w:rsidRPr="006C2E5E">
              <w:rPr>
                <w:rFonts w:asciiTheme="minorHAnsi" w:hAnsiTheme="minorHAnsi" w:cstheme="minorHAnsi"/>
              </w:rPr>
              <w:t xml:space="preserve"> </w:t>
            </w:r>
            <w:r w:rsidRPr="006C2E5E">
              <w:rPr>
                <w:rFonts w:asciiTheme="minorHAnsi" w:hAnsiTheme="minorHAnsi" w:cstheme="minorHAnsi"/>
              </w:rPr>
              <w:t>the client</w:t>
            </w:r>
            <w:r w:rsidR="380693B5" w:rsidRPr="006C2E5E">
              <w:rPr>
                <w:rFonts w:asciiTheme="minorHAnsi" w:hAnsiTheme="minorHAnsi" w:cstheme="minorHAnsi"/>
              </w:rPr>
              <w:t xml:space="preserve">, </w:t>
            </w:r>
            <w:r w:rsidRPr="006C2E5E">
              <w:rPr>
                <w:rFonts w:asciiTheme="minorHAnsi" w:hAnsiTheme="minorHAnsi" w:cstheme="minorHAnsi"/>
              </w:rPr>
              <w:t xml:space="preserve">Success Measures and </w:t>
            </w:r>
            <w:r w:rsidR="19477BD8" w:rsidRPr="006C2E5E">
              <w:rPr>
                <w:rFonts w:asciiTheme="minorHAnsi" w:hAnsiTheme="minorHAnsi" w:cstheme="minorHAnsi"/>
              </w:rPr>
              <w:t xml:space="preserve">consultant. There is no one set standard deliverable format. </w:t>
            </w:r>
          </w:p>
        </w:tc>
      </w:tr>
      <w:tr w:rsidR="001E6938" w:rsidRPr="00EF1DD7" w14:paraId="52AA6194" w14:textId="77777777" w:rsidTr="398504A0">
        <w:tc>
          <w:tcPr>
            <w:tcW w:w="5212" w:type="dxa"/>
            <w:tcMar>
              <w:top w:w="0" w:type="dxa"/>
              <w:left w:w="108" w:type="dxa"/>
              <w:bottom w:w="0" w:type="dxa"/>
              <w:right w:w="108" w:type="dxa"/>
            </w:tcMar>
          </w:tcPr>
          <w:p w14:paraId="60D88E5E" w14:textId="65A93DDD"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 xml:space="preserve">We understand this is a fixed-price, level-of-effort contract priced by daily rates. To help us price accurately, can NeighborWorks share examples of the activities it expects consultants to carry out (for </w:t>
            </w:r>
            <w:r w:rsidRPr="006C2E5E">
              <w:rPr>
                <w:rFonts w:asciiTheme="minorHAnsi" w:hAnsiTheme="minorHAnsi" w:cstheme="minorHAnsi"/>
                <w:color w:val="000000"/>
              </w:rPr>
              <w:lastRenderedPageBreak/>
              <w:t>example, site visits, travel, data collection, participant engagement or virtual coaching)? Roughly what share of the work does NeighborWorks expect to be remote versus in person?</w:t>
            </w:r>
          </w:p>
        </w:tc>
        <w:tc>
          <w:tcPr>
            <w:tcW w:w="4950" w:type="dxa"/>
            <w:tcMar>
              <w:top w:w="0" w:type="dxa"/>
              <w:left w:w="108" w:type="dxa"/>
              <w:bottom w:w="0" w:type="dxa"/>
              <w:right w:w="108" w:type="dxa"/>
            </w:tcMar>
          </w:tcPr>
          <w:p w14:paraId="6EDA959C" w14:textId="29BE8419" w:rsidR="001E6938" w:rsidRPr="006C2E5E" w:rsidRDefault="0065603D" w:rsidP="2DEBFC72">
            <w:pPr>
              <w:rPr>
                <w:rFonts w:asciiTheme="minorHAnsi" w:hAnsiTheme="minorHAnsi" w:cstheme="minorHAnsi"/>
                <w:i/>
                <w:iCs/>
              </w:rPr>
            </w:pPr>
            <w:r w:rsidRPr="006C2E5E">
              <w:rPr>
                <w:rFonts w:asciiTheme="minorHAnsi" w:hAnsiTheme="minorHAnsi" w:cstheme="minorHAnsi"/>
              </w:rPr>
              <w:lastRenderedPageBreak/>
              <w:t xml:space="preserve">Most engagements are remote. If an opportunity might include travel or the need to be onsite at a particular location, that would be made known upfront and a consultant would always have the </w:t>
            </w:r>
            <w:r w:rsidRPr="006C2E5E">
              <w:rPr>
                <w:rFonts w:asciiTheme="minorHAnsi" w:hAnsiTheme="minorHAnsi" w:cstheme="minorHAnsi"/>
              </w:rPr>
              <w:lastRenderedPageBreak/>
              <w:t xml:space="preserve">ability to </w:t>
            </w:r>
            <w:r w:rsidR="00D55FC7" w:rsidRPr="006C2E5E">
              <w:rPr>
                <w:rFonts w:asciiTheme="minorHAnsi" w:hAnsiTheme="minorHAnsi" w:cstheme="minorHAnsi"/>
              </w:rPr>
              <w:t xml:space="preserve">price the level of effort appropriately or </w:t>
            </w:r>
            <w:r w:rsidRPr="006C2E5E">
              <w:rPr>
                <w:rFonts w:asciiTheme="minorHAnsi" w:hAnsiTheme="minorHAnsi" w:cstheme="minorHAnsi"/>
              </w:rPr>
              <w:t>decline.</w:t>
            </w:r>
            <w:r w:rsidR="005923F8" w:rsidRPr="006C2E5E">
              <w:rPr>
                <w:rFonts w:asciiTheme="minorHAnsi" w:hAnsiTheme="minorHAnsi" w:cstheme="minorHAnsi"/>
              </w:rPr>
              <w:t xml:space="preserve"> Declining an invitation to work on a project will not impact whether you will be invited to another appropriately matched project in the future.</w:t>
            </w:r>
            <w:r w:rsidR="005923F8" w:rsidRPr="006C2E5E">
              <w:rPr>
                <w:rFonts w:asciiTheme="minorHAnsi" w:hAnsiTheme="minorHAnsi" w:cstheme="minorHAnsi"/>
                <w:i/>
                <w:iCs/>
              </w:rPr>
              <w:t xml:space="preserve"> </w:t>
            </w:r>
          </w:p>
        </w:tc>
      </w:tr>
      <w:tr w:rsidR="001E6938" w:rsidRPr="00EF1DD7" w14:paraId="3B38E07C" w14:textId="77777777" w:rsidTr="398504A0">
        <w:tc>
          <w:tcPr>
            <w:tcW w:w="5212" w:type="dxa"/>
            <w:tcMar>
              <w:top w:w="0" w:type="dxa"/>
              <w:left w:w="108" w:type="dxa"/>
              <w:bottom w:w="0" w:type="dxa"/>
              <w:right w:w="108" w:type="dxa"/>
            </w:tcMar>
          </w:tcPr>
          <w:p w14:paraId="271DBDBC" w14:textId="28B74701"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lastRenderedPageBreak/>
              <w:t>May a consultant propose for specific parts of a technical area (for example, 2a but not 2b-2d), or must proposals cover an entire technical area?</w:t>
            </w:r>
          </w:p>
        </w:tc>
        <w:tc>
          <w:tcPr>
            <w:tcW w:w="4950" w:type="dxa"/>
            <w:tcMar>
              <w:top w:w="0" w:type="dxa"/>
              <w:left w:w="108" w:type="dxa"/>
              <w:bottom w:w="0" w:type="dxa"/>
              <w:right w:w="108" w:type="dxa"/>
            </w:tcMar>
          </w:tcPr>
          <w:p w14:paraId="3B049E47" w14:textId="6E4CD6B0" w:rsidR="001E6938" w:rsidRPr="006C2E5E" w:rsidRDefault="5981EA12" w:rsidP="001E6938">
            <w:pPr>
              <w:rPr>
                <w:rFonts w:asciiTheme="minorHAnsi" w:hAnsiTheme="minorHAnsi" w:cstheme="minorHAnsi"/>
              </w:rPr>
            </w:pPr>
            <w:r w:rsidRPr="006C2E5E">
              <w:rPr>
                <w:rFonts w:asciiTheme="minorHAnsi" w:hAnsiTheme="minorHAnsi" w:cstheme="minorHAnsi"/>
              </w:rPr>
              <w:t xml:space="preserve">Yes. We encourage applicants to propose only to the areas they feel most qualified and interested. </w:t>
            </w:r>
          </w:p>
        </w:tc>
      </w:tr>
      <w:tr w:rsidR="001E6938" w:rsidRPr="00EF1DD7" w14:paraId="1C211540" w14:textId="77777777" w:rsidTr="398504A0">
        <w:tc>
          <w:tcPr>
            <w:tcW w:w="5212" w:type="dxa"/>
            <w:tcMar>
              <w:top w:w="0" w:type="dxa"/>
              <w:left w:w="108" w:type="dxa"/>
              <w:bottom w:w="0" w:type="dxa"/>
              <w:right w:w="108" w:type="dxa"/>
            </w:tcMar>
          </w:tcPr>
          <w:p w14:paraId="1008D4F5" w14:textId="1A2BA8F6"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How should consultants handle project costs such as participant recruitment, incentives, travel, transcription, and translation? Should these be built into the daily rate, or can they be billed to NeighborWorks as pass-through or reimbursable expenses?</w:t>
            </w:r>
          </w:p>
        </w:tc>
        <w:tc>
          <w:tcPr>
            <w:tcW w:w="4950" w:type="dxa"/>
            <w:tcMar>
              <w:top w:w="0" w:type="dxa"/>
              <w:left w:w="108" w:type="dxa"/>
              <w:bottom w:w="0" w:type="dxa"/>
              <w:right w:w="108" w:type="dxa"/>
            </w:tcMar>
          </w:tcPr>
          <w:p w14:paraId="3DDE81A9" w14:textId="7AF53475" w:rsidR="001E6938" w:rsidRPr="006C2E5E" w:rsidRDefault="2E2E0A53" w:rsidP="68CFD67D">
            <w:pPr>
              <w:rPr>
                <w:rFonts w:asciiTheme="minorHAnsi" w:hAnsiTheme="minorHAnsi" w:cstheme="minorHAnsi"/>
                <w:i/>
                <w:iCs/>
              </w:rPr>
            </w:pPr>
            <w:r w:rsidRPr="006C2E5E">
              <w:rPr>
                <w:rFonts w:asciiTheme="minorHAnsi" w:hAnsiTheme="minorHAnsi" w:cstheme="minorHAnsi"/>
              </w:rPr>
              <w:t>If an opportunity might include travel or the need to be onsite at a particular location, participant recruitment, incentives, etc., that would be made known upfront and a consultant would always have the ability to price the level of effort appropriately or decline. Declining an invitation to work on a project will not impact whether you will be invited to another appropriately matched project in the future.</w:t>
            </w:r>
          </w:p>
        </w:tc>
      </w:tr>
      <w:tr w:rsidR="001E6938" w:rsidRPr="00EF1DD7" w14:paraId="57175C94" w14:textId="77777777" w:rsidTr="398504A0">
        <w:tc>
          <w:tcPr>
            <w:tcW w:w="5212" w:type="dxa"/>
            <w:tcMar>
              <w:top w:w="0" w:type="dxa"/>
              <w:left w:w="108" w:type="dxa"/>
              <w:bottom w:w="0" w:type="dxa"/>
              <w:right w:w="108" w:type="dxa"/>
            </w:tcMar>
          </w:tcPr>
          <w:p w14:paraId="3C38FE75" w14:textId="17FDB6AB"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What specific security standards must consultants meet? Would a business-grade cloud platform such as Google Workspace, with two-factor authentication and restricted access, meet NeighborWorks’ requirements.</w:t>
            </w:r>
          </w:p>
        </w:tc>
        <w:tc>
          <w:tcPr>
            <w:tcW w:w="4950" w:type="dxa"/>
            <w:tcMar>
              <w:top w:w="0" w:type="dxa"/>
              <w:left w:w="108" w:type="dxa"/>
              <w:bottom w:w="0" w:type="dxa"/>
              <w:right w:w="108" w:type="dxa"/>
            </w:tcMar>
          </w:tcPr>
          <w:p w14:paraId="6C2DDF98" w14:textId="77777777" w:rsidR="00990EC3" w:rsidRPr="00990EC3" w:rsidRDefault="00990EC3" w:rsidP="00990EC3">
            <w:pPr>
              <w:rPr>
                <w:rFonts w:asciiTheme="minorHAnsi" w:hAnsiTheme="minorHAnsi" w:cstheme="minorHAnsi"/>
                <w:color w:val="000000" w:themeColor="text1"/>
              </w:rPr>
            </w:pPr>
            <w:r w:rsidRPr="00990EC3">
              <w:rPr>
                <w:rFonts w:asciiTheme="minorHAnsi" w:hAnsiTheme="minorHAnsi" w:cstheme="minorHAnsi"/>
                <w:color w:val="000000" w:themeColor="text1"/>
              </w:rPr>
              <w:t>Yes, the use of Google Workspace by consultants is permissible.</w:t>
            </w:r>
          </w:p>
          <w:p w14:paraId="411B5BCD" w14:textId="77777777" w:rsidR="00990EC3" w:rsidRDefault="00990EC3" w:rsidP="00990EC3">
            <w:pPr>
              <w:rPr>
                <w:rFonts w:asciiTheme="minorHAnsi" w:hAnsiTheme="minorHAnsi" w:cstheme="minorHAnsi"/>
                <w:color w:val="000000" w:themeColor="text1"/>
              </w:rPr>
            </w:pPr>
          </w:p>
          <w:p w14:paraId="7186AFE8" w14:textId="25B71041" w:rsidR="001E6938" w:rsidRPr="007B03FE" w:rsidRDefault="00990EC3" w:rsidP="00990EC3">
            <w:pPr>
              <w:rPr>
                <w:rFonts w:asciiTheme="minorHAnsi" w:hAnsiTheme="minorHAnsi" w:cstheme="minorHAnsi"/>
                <w:color w:val="000000" w:themeColor="text1"/>
                <w:highlight w:val="yellow"/>
              </w:rPr>
            </w:pPr>
            <w:r w:rsidRPr="00990EC3">
              <w:rPr>
                <w:rFonts w:asciiTheme="minorHAnsi" w:hAnsiTheme="minorHAnsi" w:cstheme="minorHAnsi"/>
                <w:color w:val="000000" w:themeColor="text1"/>
              </w:rPr>
              <w:t>At a minimum, the environment must enforce multi-factor authentication (MFA),</w:t>
            </w:r>
            <w:r w:rsidR="003D601E">
              <w:rPr>
                <w:rFonts w:asciiTheme="minorHAnsi" w:hAnsiTheme="minorHAnsi" w:cstheme="minorHAnsi"/>
                <w:color w:val="000000" w:themeColor="text1"/>
              </w:rPr>
              <w:t xml:space="preserve"> </w:t>
            </w:r>
            <w:r w:rsidRPr="00990EC3">
              <w:rPr>
                <w:rFonts w:asciiTheme="minorHAnsi" w:hAnsiTheme="minorHAnsi" w:cstheme="minorHAnsi"/>
                <w:color w:val="000000" w:themeColor="text1"/>
              </w:rPr>
              <w:t>restricting access based on least privilege, encrypting data, and implementing controls to prevent unauthorized data sharing or disclosure of sensitive information.</w:t>
            </w:r>
          </w:p>
        </w:tc>
      </w:tr>
      <w:tr w:rsidR="001E6938" w:rsidRPr="008539D0" w14:paraId="7FBA88B2" w14:textId="77777777" w:rsidTr="398504A0">
        <w:tc>
          <w:tcPr>
            <w:tcW w:w="5212" w:type="dxa"/>
            <w:tcMar>
              <w:top w:w="0" w:type="dxa"/>
              <w:left w:w="108" w:type="dxa"/>
              <w:bottom w:w="0" w:type="dxa"/>
              <w:right w:w="108" w:type="dxa"/>
            </w:tcMar>
          </w:tcPr>
          <w:p w14:paraId="36477900" w14:textId="7B5574AA"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For research or evaluation involving human participants, does NeighborWorks expect IRB review? If so, will NeighborWorks provide it, or should consultants budget for an independent  (private) IRB?</w:t>
            </w:r>
          </w:p>
        </w:tc>
        <w:tc>
          <w:tcPr>
            <w:tcW w:w="4950" w:type="dxa"/>
            <w:tcMar>
              <w:top w:w="0" w:type="dxa"/>
              <w:left w:w="108" w:type="dxa"/>
              <w:bottom w:w="0" w:type="dxa"/>
              <w:right w:w="108" w:type="dxa"/>
            </w:tcMar>
          </w:tcPr>
          <w:p w14:paraId="6EF9C9AB" w14:textId="3E974344" w:rsidR="001E6938" w:rsidRPr="006C2E5E" w:rsidRDefault="70B906B7" w:rsidP="68CFD67D">
            <w:pPr>
              <w:spacing w:line="259" w:lineRule="auto"/>
              <w:rPr>
                <w:rFonts w:asciiTheme="minorHAnsi" w:hAnsiTheme="minorHAnsi" w:cstheme="minorHAnsi"/>
              </w:rPr>
            </w:pPr>
            <w:r w:rsidRPr="006C2E5E">
              <w:rPr>
                <w:rFonts w:asciiTheme="minorHAnsi" w:hAnsiTheme="minorHAnsi" w:cstheme="minorHAnsi"/>
              </w:rPr>
              <w:t>If IRB</w:t>
            </w:r>
            <w:r w:rsidR="4FF5F956" w:rsidRPr="006C2E5E">
              <w:rPr>
                <w:rFonts w:asciiTheme="minorHAnsi" w:hAnsiTheme="minorHAnsi" w:cstheme="minorHAnsi"/>
              </w:rPr>
              <w:t xml:space="preserve"> is needed, </w:t>
            </w:r>
            <w:r w:rsidR="47765082" w:rsidRPr="006C2E5E">
              <w:rPr>
                <w:rFonts w:asciiTheme="minorHAnsi" w:hAnsiTheme="minorHAnsi" w:cstheme="minorHAnsi"/>
              </w:rPr>
              <w:t xml:space="preserve">Success Measures </w:t>
            </w:r>
            <w:r w:rsidR="4FF5F956" w:rsidRPr="006C2E5E">
              <w:rPr>
                <w:rFonts w:asciiTheme="minorHAnsi" w:hAnsiTheme="minorHAnsi" w:cstheme="minorHAnsi"/>
              </w:rPr>
              <w:t xml:space="preserve">will work with the client to find the most appropriate path. Consultants do not need to budget for IRB in this </w:t>
            </w:r>
            <w:r w:rsidR="177656AF" w:rsidRPr="006C2E5E">
              <w:rPr>
                <w:rFonts w:asciiTheme="minorHAnsi" w:hAnsiTheme="minorHAnsi" w:cstheme="minorHAnsi"/>
              </w:rPr>
              <w:t>solicitation</w:t>
            </w:r>
            <w:r w:rsidR="4FF5F956" w:rsidRPr="006C2E5E">
              <w:rPr>
                <w:rFonts w:asciiTheme="minorHAnsi" w:hAnsiTheme="minorHAnsi" w:cstheme="minorHAnsi"/>
              </w:rPr>
              <w:t xml:space="preserve">. </w:t>
            </w:r>
          </w:p>
        </w:tc>
      </w:tr>
      <w:tr w:rsidR="001E6938" w:rsidRPr="008539D0" w14:paraId="0D21CB2F" w14:textId="77777777" w:rsidTr="398504A0">
        <w:tc>
          <w:tcPr>
            <w:tcW w:w="5212" w:type="dxa"/>
            <w:tcMar>
              <w:top w:w="0" w:type="dxa"/>
              <w:left w:w="108" w:type="dxa"/>
              <w:bottom w:w="0" w:type="dxa"/>
              <w:right w:w="108" w:type="dxa"/>
            </w:tcMar>
          </w:tcPr>
          <w:p w14:paraId="727A2101" w14:textId="1869A6F4"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When does the 90-day restriction on substituting key personnel begin: at contract award, at the start of the period of performance (April 1, 2027), or when the first task order is issued?</w:t>
            </w:r>
          </w:p>
        </w:tc>
        <w:tc>
          <w:tcPr>
            <w:tcW w:w="4950" w:type="dxa"/>
            <w:tcMar>
              <w:top w:w="0" w:type="dxa"/>
              <w:left w:w="108" w:type="dxa"/>
              <w:bottom w:w="0" w:type="dxa"/>
              <w:right w:w="108" w:type="dxa"/>
            </w:tcMar>
          </w:tcPr>
          <w:p w14:paraId="52511F12" w14:textId="7E689468" w:rsidR="001E6938" w:rsidRPr="006C2E5E" w:rsidRDefault="007B03FE" w:rsidP="009D0990">
            <w:pPr>
              <w:rPr>
                <w:rFonts w:asciiTheme="minorHAnsi" w:hAnsiTheme="minorHAnsi" w:cstheme="minorHAnsi"/>
                <w:color w:val="FF0000"/>
              </w:rPr>
            </w:pPr>
            <w:r w:rsidRPr="00C41B92">
              <w:rPr>
                <w:rFonts w:asciiTheme="minorHAnsi" w:hAnsiTheme="minorHAnsi" w:cstheme="minorHAnsi"/>
                <w:color w:val="000000" w:themeColor="text1"/>
              </w:rPr>
              <w:t xml:space="preserve">The 90-day restriction on substituting key personnel begins on the start date of the </w:t>
            </w:r>
            <w:r w:rsidR="009D0990" w:rsidRPr="00C41B92">
              <w:rPr>
                <w:rFonts w:asciiTheme="minorHAnsi" w:hAnsiTheme="minorHAnsi" w:cstheme="minorHAnsi"/>
                <w:color w:val="000000" w:themeColor="text1"/>
              </w:rPr>
              <w:t>performance period</w:t>
            </w:r>
            <w:r w:rsidR="003D601E">
              <w:rPr>
                <w:rFonts w:asciiTheme="minorHAnsi" w:hAnsiTheme="minorHAnsi" w:cstheme="minorHAnsi"/>
                <w:color w:val="000000" w:themeColor="text1"/>
              </w:rPr>
              <w:t>.</w:t>
            </w:r>
            <w:r w:rsidRPr="00C41B92">
              <w:rPr>
                <w:rFonts w:asciiTheme="minorHAnsi" w:hAnsiTheme="minorHAnsi" w:cstheme="minorHAnsi"/>
                <w:color w:val="000000" w:themeColor="text1"/>
              </w:rPr>
              <w:t xml:space="preserve"> </w:t>
            </w:r>
          </w:p>
        </w:tc>
      </w:tr>
      <w:tr w:rsidR="001E6938" w:rsidRPr="008539D0" w14:paraId="7C85D48B" w14:textId="77777777" w:rsidTr="398504A0">
        <w:tc>
          <w:tcPr>
            <w:tcW w:w="5212" w:type="dxa"/>
            <w:tcMar>
              <w:top w:w="0" w:type="dxa"/>
              <w:left w:w="108" w:type="dxa"/>
              <w:bottom w:w="0" w:type="dxa"/>
              <w:right w:w="108" w:type="dxa"/>
            </w:tcMar>
          </w:tcPr>
          <w:p w14:paraId="5346AABD" w14:textId="2836A899"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The period of performance begins April 1, 2027. If NeighborWorks needs services before then, or issues a task order on short notice, how much lead time should consultants expect, and is there flexibility on start dates?</w:t>
            </w:r>
          </w:p>
        </w:tc>
        <w:tc>
          <w:tcPr>
            <w:tcW w:w="4950" w:type="dxa"/>
            <w:tcMar>
              <w:top w:w="0" w:type="dxa"/>
              <w:left w:w="108" w:type="dxa"/>
              <w:bottom w:w="0" w:type="dxa"/>
              <w:right w:w="108" w:type="dxa"/>
            </w:tcMar>
          </w:tcPr>
          <w:p w14:paraId="591101FB" w14:textId="0887AD9E" w:rsidR="001E6938" w:rsidRPr="006C2E5E" w:rsidRDefault="000517B0" w:rsidP="2DEBFC72">
            <w:pPr>
              <w:rPr>
                <w:rFonts w:asciiTheme="minorHAnsi" w:hAnsiTheme="minorHAnsi" w:cstheme="minorHAnsi"/>
              </w:rPr>
            </w:pPr>
            <w:r w:rsidRPr="006C2E5E">
              <w:rPr>
                <w:rFonts w:asciiTheme="minorHAnsi" w:hAnsiTheme="minorHAnsi" w:cstheme="minorHAnsi"/>
              </w:rPr>
              <w:t>This award’s Period of Performance will not be</w:t>
            </w:r>
            <w:r w:rsidR="008C53B5" w:rsidRPr="006C2E5E">
              <w:rPr>
                <w:rFonts w:asciiTheme="minorHAnsi" w:hAnsiTheme="minorHAnsi" w:cstheme="minorHAnsi"/>
              </w:rPr>
              <w:t>gin</w:t>
            </w:r>
            <w:r w:rsidR="00B92347" w:rsidRPr="006C2E5E">
              <w:rPr>
                <w:rFonts w:asciiTheme="minorHAnsi" w:hAnsiTheme="minorHAnsi" w:cstheme="minorHAnsi"/>
              </w:rPr>
              <w:t xml:space="preserve"> until April 1, 2027. </w:t>
            </w:r>
            <w:r w:rsidR="00AF7EE8" w:rsidRPr="006C2E5E">
              <w:rPr>
                <w:rFonts w:asciiTheme="minorHAnsi" w:hAnsiTheme="minorHAnsi" w:cstheme="minorHAnsi"/>
              </w:rPr>
              <w:t xml:space="preserve">Success Measures makes every effort to plan in advance for all projects and works with </w:t>
            </w:r>
            <w:r w:rsidR="001D6DBF" w:rsidRPr="006C2E5E">
              <w:rPr>
                <w:rFonts w:asciiTheme="minorHAnsi" w:hAnsiTheme="minorHAnsi" w:cstheme="minorHAnsi"/>
              </w:rPr>
              <w:t xml:space="preserve">consultants </w:t>
            </w:r>
            <w:r w:rsidR="0E8A8DCB" w:rsidRPr="006C2E5E">
              <w:rPr>
                <w:rFonts w:asciiTheme="minorHAnsi" w:hAnsiTheme="minorHAnsi" w:cstheme="minorHAnsi"/>
              </w:rPr>
              <w:t xml:space="preserve">on project timelines </w:t>
            </w:r>
            <w:r w:rsidR="001D6DBF" w:rsidRPr="006C2E5E">
              <w:rPr>
                <w:rFonts w:asciiTheme="minorHAnsi" w:hAnsiTheme="minorHAnsi" w:cstheme="minorHAnsi"/>
              </w:rPr>
              <w:t>when possible</w:t>
            </w:r>
            <w:r w:rsidR="00AF7EE8" w:rsidRPr="006C2E5E">
              <w:rPr>
                <w:rFonts w:asciiTheme="minorHAnsi" w:hAnsiTheme="minorHAnsi" w:cstheme="minorHAnsi"/>
              </w:rPr>
              <w:t>. </w:t>
            </w:r>
            <w:r w:rsidR="00546436" w:rsidRPr="006C2E5E">
              <w:rPr>
                <w:rFonts w:asciiTheme="minorHAnsi" w:hAnsiTheme="minorHAnsi" w:cstheme="minorHAnsi"/>
              </w:rPr>
              <w:t xml:space="preserve">Consultants always have the opportunity to decline a project based on current workload, feasibility or any other reason, without penalty. </w:t>
            </w:r>
            <w:r w:rsidR="00546436" w:rsidRPr="006C2E5E">
              <w:rPr>
                <w:rFonts w:asciiTheme="minorHAnsi" w:hAnsiTheme="minorHAnsi" w:cstheme="minorHAnsi"/>
              </w:rPr>
              <w:lastRenderedPageBreak/>
              <w:t>Declining an invitation to work on a project will not impact whether you will be invited to another appropriately matched project in the future.</w:t>
            </w:r>
          </w:p>
        </w:tc>
      </w:tr>
      <w:tr w:rsidR="001E6938" w:rsidRPr="008539D0" w14:paraId="245C1B6C" w14:textId="77777777" w:rsidTr="398504A0">
        <w:tc>
          <w:tcPr>
            <w:tcW w:w="5212" w:type="dxa"/>
            <w:tcMar>
              <w:top w:w="0" w:type="dxa"/>
              <w:left w:w="108" w:type="dxa"/>
              <w:bottom w:w="0" w:type="dxa"/>
              <w:right w:w="108" w:type="dxa"/>
            </w:tcMar>
          </w:tcPr>
          <w:p w14:paraId="49A5D7B8" w14:textId="50F58EB5"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lastRenderedPageBreak/>
              <w:t>How will the Section M evaluation weights be applied to Category 2-only proposals, given that the listed factors emphasize evaluation and learning services? May a response identify specific Category 2 services offered without offering Salesforce-specific work?</w:t>
            </w:r>
          </w:p>
        </w:tc>
        <w:tc>
          <w:tcPr>
            <w:tcW w:w="4950" w:type="dxa"/>
            <w:tcMar>
              <w:top w:w="0" w:type="dxa"/>
              <w:left w:w="108" w:type="dxa"/>
              <w:bottom w:w="0" w:type="dxa"/>
              <w:right w:w="108" w:type="dxa"/>
            </w:tcMar>
          </w:tcPr>
          <w:p w14:paraId="7A5184AF" w14:textId="27A6E40E" w:rsidR="001E6938" w:rsidRPr="006C2E5E" w:rsidRDefault="00E95A9D" w:rsidP="001E6938">
            <w:pPr>
              <w:rPr>
                <w:rFonts w:asciiTheme="minorHAnsi" w:hAnsiTheme="minorHAnsi" w:cstheme="minorHAnsi"/>
              </w:rPr>
            </w:pPr>
            <w:r w:rsidRPr="006C2E5E">
              <w:rPr>
                <w:rFonts w:asciiTheme="minorHAnsi" w:hAnsiTheme="minorHAnsi" w:cstheme="minorHAnsi"/>
              </w:rPr>
              <w:t xml:space="preserve">Yes, </w:t>
            </w:r>
            <w:r w:rsidR="001E4C94" w:rsidRPr="006C2E5E">
              <w:rPr>
                <w:rFonts w:asciiTheme="minorHAnsi" w:hAnsiTheme="minorHAnsi" w:cstheme="minorHAnsi"/>
              </w:rPr>
              <w:t>Category 2 service experience and expertise can be in any or all of the listed activities</w:t>
            </w:r>
            <w:r w:rsidR="00B45ACC" w:rsidRPr="006C2E5E">
              <w:rPr>
                <w:rFonts w:asciiTheme="minorHAnsi" w:hAnsiTheme="minorHAnsi" w:cstheme="minorHAnsi"/>
              </w:rPr>
              <w:t>. The majority of the</w:t>
            </w:r>
            <w:r w:rsidR="00B155A8" w:rsidRPr="006C2E5E">
              <w:rPr>
                <w:rFonts w:asciiTheme="minorHAnsi" w:hAnsiTheme="minorHAnsi" w:cstheme="minorHAnsi"/>
              </w:rPr>
              <w:t xml:space="preserve"> activities in Category 2 would be in support of a larger Evaluation and learning effort. </w:t>
            </w:r>
          </w:p>
        </w:tc>
      </w:tr>
      <w:tr w:rsidR="001E6938" w:rsidRPr="008539D0" w14:paraId="0864FEEA" w14:textId="77777777" w:rsidTr="398504A0">
        <w:tc>
          <w:tcPr>
            <w:tcW w:w="5212" w:type="dxa"/>
            <w:tcMar>
              <w:top w:w="0" w:type="dxa"/>
              <w:left w:w="108" w:type="dxa"/>
              <w:bottom w:w="0" w:type="dxa"/>
              <w:right w:w="108" w:type="dxa"/>
            </w:tcMar>
          </w:tcPr>
          <w:p w14:paraId="755E9D87" w14:textId="77709968"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For a Louisiana LLC delivering those services entirely remotely from Louisiana, does NeighborWorks require any additional business license or foreign registration? Which Section H insurance coverages would apply to a principal-only engagement with no travel or subcontractors?</w:t>
            </w:r>
          </w:p>
        </w:tc>
        <w:tc>
          <w:tcPr>
            <w:tcW w:w="4950" w:type="dxa"/>
            <w:tcMar>
              <w:top w:w="0" w:type="dxa"/>
              <w:left w:w="108" w:type="dxa"/>
              <w:bottom w:w="0" w:type="dxa"/>
              <w:right w:w="108" w:type="dxa"/>
            </w:tcMar>
          </w:tcPr>
          <w:p w14:paraId="49CE3F73" w14:textId="7E093911" w:rsidR="001E6938" w:rsidRPr="008B74EE" w:rsidRDefault="00C41B92" w:rsidP="003A64DF">
            <w:pPr>
              <w:rPr>
                <w:rFonts w:asciiTheme="minorHAnsi" w:hAnsiTheme="minorHAnsi" w:cstheme="minorHAnsi"/>
                <w:color w:val="FF0000"/>
              </w:rPr>
            </w:pPr>
            <w:r>
              <w:rPr>
                <w:rFonts w:asciiTheme="minorHAnsi" w:hAnsiTheme="minorHAnsi" w:cstheme="minorHAnsi"/>
              </w:rPr>
              <w:t>No. There are no additional licenses required.</w:t>
            </w:r>
          </w:p>
        </w:tc>
      </w:tr>
      <w:tr w:rsidR="001E6938" w:rsidRPr="008539D0" w14:paraId="305D705D" w14:textId="77777777" w:rsidTr="398504A0">
        <w:tc>
          <w:tcPr>
            <w:tcW w:w="5212" w:type="dxa"/>
            <w:tcMar>
              <w:top w:w="0" w:type="dxa"/>
              <w:left w:w="108" w:type="dxa"/>
              <w:bottom w:w="0" w:type="dxa"/>
              <w:right w:w="108" w:type="dxa"/>
            </w:tcMar>
          </w:tcPr>
          <w:p w14:paraId="3D635AFC" w14:textId="35BA1AF3"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What invoicing frequency and payment interval apply to ongoing coordination assignments, and is the insurance threshold based on the agreement ceiling or each task order?</w:t>
            </w:r>
          </w:p>
        </w:tc>
        <w:tc>
          <w:tcPr>
            <w:tcW w:w="4950" w:type="dxa"/>
            <w:tcMar>
              <w:top w:w="0" w:type="dxa"/>
              <w:left w:w="108" w:type="dxa"/>
              <w:bottom w:w="0" w:type="dxa"/>
              <w:right w:w="108" w:type="dxa"/>
            </w:tcMar>
          </w:tcPr>
          <w:p w14:paraId="54A88DC5" w14:textId="77777777" w:rsidR="00C41B92" w:rsidRPr="00606AF2" w:rsidRDefault="00C41B92" w:rsidP="00C41B92">
            <w:pPr>
              <w:spacing w:line="259" w:lineRule="auto"/>
              <w:rPr>
                <w:rFonts w:asciiTheme="minorHAnsi" w:hAnsiTheme="minorHAnsi" w:cstheme="minorHAnsi"/>
              </w:rPr>
            </w:pPr>
            <w:r w:rsidRPr="00606AF2">
              <w:rPr>
                <w:rFonts w:asciiTheme="minorHAnsi" w:hAnsiTheme="minorHAnsi" w:cstheme="minorHAnsi"/>
              </w:rPr>
              <w:t>Invoices shall be submitted monthly for services performed during the applicable billing period. Payment is generally processed within 30 days of receipt of the invoice; however, processing timelines may vary due to organizational holiday closures and staff schedules.</w:t>
            </w:r>
          </w:p>
          <w:p w14:paraId="3108D970" w14:textId="77777777" w:rsidR="00AC0741" w:rsidRPr="00606AF2" w:rsidRDefault="00AC0741" w:rsidP="2DEBFC72">
            <w:pPr>
              <w:spacing w:line="259" w:lineRule="auto"/>
              <w:rPr>
                <w:rFonts w:asciiTheme="minorHAnsi" w:hAnsiTheme="minorHAnsi" w:cstheme="minorHAnsi"/>
                <w:color w:val="FF0000"/>
              </w:rPr>
            </w:pPr>
          </w:p>
          <w:p w14:paraId="27A642CD" w14:textId="4C381887" w:rsidR="00AC0741" w:rsidRPr="00606AF2" w:rsidRDefault="00606AF2" w:rsidP="00153E29">
            <w:pPr>
              <w:spacing w:line="259" w:lineRule="auto"/>
              <w:rPr>
                <w:rFonts w:asciiTheme="minorHAnsi" w:hAnsiTheme="minorHAnsi" w:cstheme="minorHAnsi"/>
              </w:rPr>
            </w:pPr>
            <w:r w:rsidRPr="00606AF2">
              <w:rPr>
                <w:rFonts w:asciiTheme="minorHAnsi" w:hAnsiTheme="minorHAnsi" w:cstheme="minorHAnsi"/>
              </w:rPr>
              <w:t>Insurance thresholds are outlined in Section H</w:t>
            </w:r>
            <w:r>
              <w:rPr>
                <w:rFonts w:asciiTheme="minorHAnsi" w:hAnsiTheme="minorHAnsi" w:cstheme="minorHAnsi"/>
              </w:rPr>
              <w:t xml:space="preserve"> and is based on the entire agreement.</w:t>
            </w:r>
          </w:p>
        </w:tc>
      </w:tr>
      <w:tr w:rsidR="001E6938" w:rsidRPr="008539D0" w14:paraId="1CDABB2A" w14:textId="77777777" w:rsidTr="398504A0">
        <w:tc>
          <w:tcPr>
            <w:tcW w:w="5212" w:type="dxa"/>
            <w:tcMar>
              <w:top w:w="0" w:type="dxa"/>
              <w:left w:w="108" w:type="dxa"/>
              <w:bottom w:w="0" w:type="dxa"/>
              <w:right w:w="108" w:type="dxa"/>
            </w:tcMar>
          </w:tcPr>
          <w:p w14:paraId="022B1548" w14:textId="3FA8B2F8" w:rsidR="001E6938" w:rsidRPr="006C2E5E" w:rsidRDefault="001E6938" w:rsidP="001E6938">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color w:val="000000"/>
              </w:rPr>
              <w:t>Does a complete submission require both the Alchemer application and the Section L email package, including a separate price file?</w:t>
            </w:r>
          </w:p>
        </w:tc>
        <w:tc>
          <w:tcPr>
            <w:tcW w:w="4950" w:type="dxa"/>
            <w:tcMar>
              <w:top w:w="0" w:type="dxa"/>
              <w:left w:w="108" w:type="dxa"/>
              <w:bottom w:w="0" w:type="dxa"/>
              <w:right w:w="108" w:type="dxa"/>
            </w:tcMar>
          </w:tcPr>
          <w:p w14:paraId="49DC2094" w14:textId="0026A4CD" w:rsidR="001E6938" w:rsidRPr="006C2E5E" w:rsidRDefault="008B74EE" w:rsidP="008B74EE">
            <w:pPr>
              <w:rPr>
                <w:rFonts w:asciiTheme="minorHAnsi" w:hAnsiTheme="minorHAnsi" w:cstheme="minorHAnsi"/>
              </w:rPr>
            </w:pPr>
            <w:r w:rsidRPr="00C41B92">
              <w:rPr>
                <w:rFonts w:asciiTheme="minorHAnsi" w:hAnsiTheme="minorHAnsi" w:cstheme="minorHAnsi"/>
              </w:rPr>
              <w:t>No, it doesn’t. The Alchemer submission is sufficient.</w:t>
            </w:r>
          </w:p>
        </w:tc>
      </w:tr>
      <w:tr w:rsidR="001E6938" w:rsidRPr="008539D0" w14:paraId="4AEC40CA" w14:textId="77777777" w:rsidTr="398504A0">
        <w:tc>
          <w:tcPr>
            <w:tcW w:w="5212" w:type="dxa"/>
            <w:tcMar>
              <w:top w:w="0" w:type="dxa"/>
              <w:left w:w="108" w:type="dxa"/>
              <w:bottom w:w="0" w:type="dxa"/>
              <w:right w:w="108" w:type="dxa"/>
            </w:tcMar>
          </w:tcPr>
          <w:p w14:paraId="17D29480" w14:textId="26A915DB" w:rsidR="001E6938" w:rsidRPr="006C2E5E" w:rsidRDefault="00570549" w:rsidP="00CB21EA">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rPr>
              <w:t> May a consultant submit for only the Evaluation &amp; Learning Partner category and the specific subareas that best match their qualifications, or should respondents address all categories of work</w:t>
            </w:r>
            <w:r w:rsidRPr="006C2E5E">
              <w:rPr>
                <w:rFonts w:asciiTheme="minorHAnsi" w:hAnsiTheme="minorHAnsi" w:cstheme="minorHAnsi"/>
              </w:rPr>
              <w:br/>
              <w:t>in the solicitation?</w:t>
            </w:r>
          </w:p>
        </w:tc>
        <w:tc>
          <w:tcPr>
            <w:tcW w:w="4950" w:type="dxa"/>
            <w:tcMar>
              <w:top w:w="0" w:type="dxa"/>
              <w:left w:w="108" w:type="dxa"/>
              <w:bottom w:w="0" w:type="dxa"/>
              <w:right w:w="108" w:type="dxa"/>
            </w:tcMar>
          </w:tcPr>
          <w:p w14:paraId="0497B44A" w14:textId="73C7DE42" w:rsidR="001E6938" w:rsidRPr="006C2E5E" w:rsidRDefault="00B61082" w:rsidP="00CB21EA">
            <w:pPr>
              <w:rPr>
                <w:rFonts w:asciiTheme="minorHAnsi" w:hAnsiTheme="minorHAnsi" w:cstheme="minorHAnsi"/>
              </w:rPr>
            </w:pPr>
            <w:r w:rsidRPr="006C2E5E">
              <w:rPr>
                <w:rFonts w:asciiTheme="minorHAnsi" w:hAnsiTheme="minorHAnsi" w:cstheme="minorHAnsi"/>
              </w:rPr>
              <w:t xml:space="preserve">Respondents should submit only for </w:t>
            </w:r>
            <w:r w:rsidR="00CC2200" w:rsidRPr="006C2E5E">
              <w:rPr>
                <w:rFonts w:asciiTheme="minorHAnsi" w:hAnsiTheme="minorHAnsi" w:cstheme="minorHAnsi"/>
              </w:rPr>
              <w:t>one or more of the five Categories of Work for which they are qualifi</w:t>
            </w:r>
            <w:r w:rsidR="00937E1C" w:rsidRPr="006C2E5E">
              <w:rPr>
                <w:rFonts w:asciiTheme="minorHAnsi" w:hAnsiTheme="minorHAnsi" w:cstheme="minorHAnsi"/>
              </w:rPr>
              <w:t>ed. For example, you may submit only for Evaluation &amp; Learning, or, if you have additional expertise that meets the criteria for Information &amp; Graphic Design, you can also submit in that Category</w:t>
            </w:r>
            <w:r w:rsidR="00821CF2" w:rsidRPr="006C2E5E">
              <w:rPr>
                <w:rFonts w:asciiTheme="minorHAnsi" w:hAnsiTheme="minorHAnsi" w:cstheme="minorHAnsi"/>
              </w:rPr>
              <w:t xml:space="preserve"> with information, daily rates and work samples demonstrating that you are qualified in that category as well. </w:t>
            </w:r>
          </w:p>
        </w:tc>
      </w:tr>
      <w:tr w:rsidR="001E6938" w:rsidRPr="008539D0" w14:paraId="466017A2" w14:textId="77777777" w:rsidTr="398504A0">
        <w:tc>
          <w:tcPr>
            <w:tcW w:w="5212" w:type="dxa"/>
            <w:tcMar>
              <w:top w:w="0" w:type="dxa"/>
              <w:left w:w="108" w:type="dxa"/>
              <w:bottom w:w="0" w:type="dxa"/>
              <w:right w:w="108" w:type="dxa"/>
            </w:tcMar>
          </w:tcPr>
          <w:p w14:paraId="0C4BC311" w14:textId="55BA2DD1" w:rsidR="001E6938" w:rsidRPr="006C2E5E" w:rsidRDefault="00570549" w:rsidP="37B1F0EB">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rPr>
              <w:t> Because the contract is structured as fixed-price level of effort with work issued through projects/task orders, is there an anticipated</w:t>
            </w:r>
            <w:r w:rsidRPr="006C2E5E">
              <w:rPr>
                <w:rFonts w:asciiTheme="minorHAnsi" w:hAnsiTheme="minorHAnsi" w:cstheme="minorHAnsi"/>
              </w:rPr>
              <w:br/>
              <w:t xml:space="preserve">annual level of effort or range of days that </w:t>
            </w:r>
            <w:r w:rsidRPr="006C2E5E">
              <w:rPr>
                <w:rFonts w:asciiTheme="minorHAnsi" w:hAnsiTheme="minorHAnsi" w:cstheme="minorHAnsi"/>
              </w:rPr>
              <w:lastRenderedPageBreak/>
              <w:t>respondents should use when calculating the not-to-exceed contract value?</w:t>
            </w:r>
          </w:p>
        </w:tc>
        <w:tc>
          <w:tcPr>
            <w:tcW w:w="4950" w:type="dxa"/>
            <w:tcMar>
              <w:top w:w="0" w:type="dxa"/>
              <w:left w:w="108" w:type="dxa"/>
              <w:bottom w:w="0" w:type="dxa"/>
              <w:right w:w="108" w:type="dxa"/>
            </w:tcMar>
          </w:tcPr>
          <w:p w14:paraId="55A5EDA5" w14:textId="0D12574A" w:rsidR="00544B9F" w:rsidRPr="00C41B92" w:rsidRDefault="00B7535A" w:rsidP="00544B9F">
            <w:pPr>
              <w:rPr>
                <w:rFonts w:asciiTheme="minorHAnsi" w:hAnsiTheme="minorHAnsi" w:cstheme="minorHAnsi"/>
              </w:rPr>
            </w:pPr>
            <w:r w:rsidRPr="00C41B92">
              <w:rPr>
                <w:rFonts w:asciiTheme="minorHAnsi" w:hAnsiTheme="minorHAnsi" w:cstheme="minorHAnsi"/>
              </w:rPr>
              <w:lastRenderedPageBreak/>
              <w:t xml:space="preserve"> </w:t>
            </w:r>
            <w:r w:rsidR="00544B9F" w:rsidRPr="00C41B92">
              <w:rPr>
                <w:rFonts w:asciiTheme="minorHAnsi" w:hAnsiTheme="minorHAnsi" w:cstheme="minorHAnsi"/>
              </w:rPr>
              <w:t>Offerors should provide only their proposed daily rate. A total not-to-exceed amount is not required.</w:t>
            </w:r>
            <w:r w:rsidR="00CF592C" w:rsidRPr="00C41B92">
              <w:rPr>
                <w:rFonts w:asciiTheme="minorHAnsi" w:hAnsiTheme="minorHAnsi" w:cstheme="minorHAnsi"/>
              </w:rPr>
              <w:t xml:space="preserve"> </w:t>
            </w:r>
          </w:p>
          <w:p w14:paraId="518715E7" w14:textId="0665A270" w:rsidR="00544B9F" w:rsidRPr="00544B9F" w:rsidRDefault="00544B9F" w:rsidP="2DEBFC72">
            <w:pPr>
              <w:rPr>
                <w:rFonts w:asciiTheme="minorHAnsi" w:hAnsiTheme="minorHAnsi" w:cstheme="minorHAnsi"/>
                <w:highlight w:val="yellow"/>
              </w:rPr>
            </w:pPr>
          </w:p>
        </w:tc>
      </w:tr>
      <w:tr w:rsidR="001E6938" w:rsidRPr="008539D0" w14:paraId="5383C5D5" w14:textId="77777777" w:rsidTr="398504A0">
        <w:tc>
          <w:tcPr>
            <w:tcW w:w="5212" w:type="dxa"/>
            <w:tcMar>
              <w:top w:w="0" w:type="dxa"/>
              <w:left w:w="108" w:type="dxa"/>
              <w:bottom w:w="0" w:type="dxa"/>
              <w:right w:w="108" w:type="dxa"/>
            </w:tcMar>
          </w:tcPr>
          <w:p w14:paraId="3FB55377" w14:textId="405CFA87" w:rsidR="001E6938" w:rsidRPr="006C2E5E" w:rsidRDefault="00570549" w:rsidP="00CB21EA">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rPr>
              <w:t>The proposal requirements request a SAM.gov unique entity identifier. Must the UEI/SAM registration be active at the time of proposal submission, or may a selected consultant complete or finalize registration before contract execution?</w:t>
            </w:r>
          </w:p>
        </w:tc>
        <w:tc>
          <w:tcPr>
            <w:tcW w:w="4950" w:type="dxa"/>
            <w:tcMar>
              <w:top w:w="0" w:type="dxa"/>
              <w:left w:w="108" w:type="dxa"/>
              <w:bottom w:w="0" w:type="dxa"/>
              <w:right w:w="108" w:type="dxa"/>
            </w:tcMar>
          </w:tcPr>
          <w:p w14:paraId="5656DD30" w14:textId="3020484D" w:rsidR="003D601E" w:rsidRDefault="00544B9F" w:rsidP="00544B9F">
            <w:pPr>
              <w:rPr>
                <w:rFonts w:asciiTheme="minorHAnsi" w:hAnsiTheme="minorHAnsi" w:cstheme="minorHAnsi"/>
              </w:rPr>
            </w:pPr>
            <w:r w:rsidRPr="00CF592C">
              <w:rPr>
                <w:rFonts w:asciiTheme="minorHAnsi" w:hAnsiTheme="minorHAnsi" w:cstheme="minorHAnsi"/>
              </w:rPr>
              <w:t xml:space="preserve">Offerors are not required to have an active SAM.gov registration at the time of proposal submission. However, a selected consultant </w:t>
            </w:r>
            <w:r w:rsidR="003D601E">
              <w:rPr>
                <w:rFonts w:asciiTheme="minorHAnsi" w:hAnsiTheme="minorHAnsi" w:cstheme="minorHAnsi"/>
              </w:rPr>
              <w:t>will go through a verification process prior to contract execution.</w:t>
            </w:r>
          </w:p>
          <w:p w14:paraId="236F4848" w14:textId="77777777" w:rsidR="00544B9F" w:rsidRPr="00CF592C" w:rsidRDefault="00544B9F" w:rsidP="00544B9F">
            <w:pPr>
              <w:rPr>
                <w:rFonts w:asciiTheme="minorHAnsi" w:hAnsiTheme="minorHAnsi" w:cstheme="minorHAnsi"/>
              </w:rPr>
            </w:pPr>
          </w:p>
          <w:p w14:paraId="2A4FD3F9" w14:textId="6B03BADD" w:rsidR="001E6938" w:rsidRPr="006C2E5E" w:rsidRDefault="00544B9F" w:rsidP="00544B9F">
            <w:pPr>
              <w:rPr>
                <w:rFonts w:asciiTheme="minorHAnsi" w:hAnsiTheme="minorHAnsi" w:cstheme="minorHAnsi"/>
                <w:color w:val="FF0000"/>
              </w:rPr>
            </w:pPr>
            <w:r w:rsidRPr="00CF592C">
              <w:rPr>
                <w:rFonts w:asciiTheme="minorHAnsi" w:hAnsiTheme="minorHAnsi" w:cstheme="minorHAnsi"/>
              </w:rPr>
              <w:t xml:space="preserve">Offerors </w:t>
            </w:r>
            <w:r w:rsidR="00ED5BD7">
              <w:rPr>
                <w:rFonts w:asciiTheme="minorHAnsi" w:hAnsiTheme="minorHAnsi" w:cstheme="minorHAnsi"/>
              </w:rPr>
              <w:t>are encouraged to</w:t>
            </w:r>
            <w:r w:rsidRPr="00CF592C">
              <w:rPr>
                <w:rFonts w:asciiTheme="minorHAnsi" w:hAnsiTheme="minorHAnsi" w:cstheme="minorHAnsi"/>
              </w:rPr>
              <w:t xml:space="preserve"> provide their UEI, if already available, in their propos</w:t>
            </w:r>
            <w:r w:rsidRPr="00C41B92">
              <w:rPr>
                <w:rFonts w:asciiTheme="minorHAnsi" w:hAnsiTheme="minorHAnsi" w:cstheme="minorHAnsi"/>
              </w:rPr>
              <w:t>al.</w:t>
            </w:r>
          </w:p>
        </w:tc>
      </w:tr>
      <w:tr w:rsidR="001E6938" w:rsidRPr="008539D0" w14:paraId="6431DD78" w14:textId="77777777" w:rsidTr="398504A0">
        <w:tc>
          <w:tcPr>
            <w:tcW w:w="5212" w:type="dxa"/>
            <w:tcMar>
              <w:top w:w="0" w:type="dxa"/>
              <w:left w:w="108" w:type="dxa"/>
              <w:bottom w:w="0" w:type="dxa"/>
              <w:right w:w="108" w:type="dxa"/>
            </w:tcMar>
          </w:tcPr>
          <w:p w14:paraId="5D473E57" w14:textId="2D0132ED" w:rsidR="001E6938" w:rsidRPr="006C2E5E" w:rsidRDefault="00570549" w:rsidP="00CB21EA">
            <w:pPr>
              <w:pStyle w:val="ListParagraph"/>
              <w:numPr>
                <w:ilvl w:val="0"/>
                <w:numId w:val="20"/>
              </w:numPr>
              <w:spacing w:after="120"/>
              <w:ind w:left="360"/>
              <w:rPr>
                <w:rFonts w:asciiTheme="minorHAnsi" w:hAnsiTheme="minorHAnsi" w:cstheme="minorHAnsi"/>
              </w:rPr>
            </w:pPr>
            <w:r w:rsidRPr="006C2E5E">
              <w:rPr>
                <w:rFonts w:asciiTheme="minorHAnsi" w:hAnsiTheme="minorHAnsi" w:cstheme="minorHAnsi"/>
              </w:rPr>
              <w:t>Section H states that insurance must be customary and appropriate for the work and provides suggested coverage thresholds. Is proof of</w:t>
            </w:r>
            <w:r w:rsidRPr="006C2E5E">
              <w:rPr>
                <w:rFonts w:asciiTheme="minorHAnsi" w:hAnsiTheme="minorHAnsi" w:cstheme="minorHAnsi"/>
              </w:rPr>
              <w:br/>
              <w:t>insurance required with the proposal, or only upon request/prior to contract execution? For a sole proprietor performing professional evaluation, research, facilitation, and technical-assistance services remotely, please also confirm which coverage types would be required.</w:t>
            </w:r>
          </w:p>
        </w:tc>
        <w:tc>
          <w:tcPr>
            <w:tcW w:w="4950" w:type="dxa"/>
            <w:tcMar>
              <w:top w:w="0" w:type="dxa"/>
              <w:left w:w="108" w:type="dxa"/>
              <w:bottom w:w="0" w:type="dxa"/>
              <w:right w:w="108" w:type="dxa"/>
            </w:tcMar>
          </w:tcPr>
          <w:p w14:paraId="112F71EA" w14:textId="4CA2AC49" w:rsidR="000A4AD6" w:rsidRPr="00606AF2" w:rsidRDefault="00C41B92" w:rsidP="00544B9F">
            <w:pPr>
              <w:rPr>
                <w:rFonts w:asciiTheme="minorHAnsi" w:hAnsiTheme="minorHAnsi" w:cstheme="minorHAnsi"/>
                <w:color w:val="FF0000"/>
              </w:rPr>
            </w:pPr>
            <w:r w:rsidRPr="00606AF2">
              <w:rPr>
                <w:rFonts w:asciiTheme="minorHAnsi" w:hAnsiTheme="minorHAnsi" w:cstheme="minorHAnsi"/>
              </w:rPr>
              <w:t xml:space="preserve">No, proof of insurance is not required during the solicitation process. However, </w:t>
            </w:r>
            <w:r w:rsidR="00606AF2" w:rsidRPr="00606AF2">
              <w:rPr>
                <w:rFonts w:asciiTheme="minorHAnsi" w:hAnsiTheme="minorHAnsi" w:cstheme="minorHAnsi"/>
              </w:rPr>
              <w:t>it</w:t>
            </w:r>
            <w:r w:rsidRPr="00606AF2">
              <w:rPr>
                <w:rFonts w:asciiTheme="minorHAnsi" w:hAnsiTheme="minorHAnsi" w:cstheme="minorHAnsi"/>
              </w:rPr>
              <w:t xml:space="preserve"> will be necessary for award.</w:t>
            </w:r>
            <w:r w:rsidR="00606AF2">
              <w:rPr>
                <w:rFonts w:asciiTheme="minorHAnsi" w:hAnsiTheme="minorHAnsi" w:cstheme="minorHAnsi"/>
              </w:rPr>
              <w:t xml:space="preserve"> Required coverage types are outlined in Section H.</w:t>
            </w:r>
          </w:p>
        </w:tc>
      </w:tr>
      <w:tr w:rsidR="00C41B92" w:rsidRPr="008539D0" w14:paraId="13BE8DD1" w14:textId="77777777" w:rsidTr="398504A0">
        <w:tc>
          <w:tcPr>
            <w:tcW w:w="5212" w:type="dxa"/>
            <w:tcMar>
              <w:top w:w="0" w:type="dxa"/>
              <w:left w:w="108" w:type="dxa"/>
              <w:bottom w:w="0" w:type="dxa"/>
              <w:right w:w="108" w:type="dxa"/>
            </w:tcMar>
          </w:tcPr>
          <w:p w14:paraId="0EC899C4" w14:textId="6ADB4129" w:rsidR="00C41B92" w:rsidRPr="00C41B92" w:rsidRDefault="00C41B92" w:rsidP="00C41B92">
            <w:pPr>
              <w:pStyle w:val="ListParagraph"/>
              <w:numPr>
                <w:ilvl w:val="0"/>
                <w:numId w:val="20"/>
              </w:numPr>
              <w:spacing w:after="120"/>
              <w:ind w:left="360"/>
              <w:rPr>
                <w:rFonts w:asciiTheme="minorHAnsi" w:hAnsiTheme="minorHAnsi" w:cstheme="minorHAnsi"/>
              </w:rPr>
            </w:pPr>
            <w:r w:rsidRPr="00C41B92">
              <w:rPr>
                <w:rFonts w:asciiTheme="minorHAnsi" w:hAnsiTheme="minorHAnsi" w:cstheme="minorHAnsi"/>
              </w:rPr>
              <w:t>Whether assignments under this RFP may involve organizations, projects, or participants in Puerto Rico.</w:t>
            </w:r>
          </w:p>
        </w:tc>
        <w:tc>
          <w:tcPr>
            <w:tcW w:w="4950" w:type="dxa"/>
            <w:tcMar>
              <w:top w:w="0" w:type="dxa"/>
              <w:left w:w="108" w:type="dxa"/>
              <w:bottom w:w="0" w:type="dxa"/>
              <w:right w:w="108" w:type="dxa"/>
            </w:tcMar>
          </w:tcPr>
          <w:p w14:paraId="57AC39B4" w14:textId="77777777" w:rsidR="00C41B92" w:rsidRPr="00C41B92" w:rsidRDefault="00C41B92" w:rsidP="00C41B92">
            <w:pPr>
              <w:rPr>
                <w:rFonts w:asciiTheme="minorHAnsi" w:hAnsiTheme="minorHAnsi" w:cstheme="minorHAnsi"/>
              </w:rPr>
            </w:pPr>
            <w:r w:rsidRPr="00C41B92">
              <w:rPr>
                <w:rFonts w:asciiTheme="minorHAnsi" w:hAnsiTheme="minorHAnsi" w:cstheme="minorHAnsi"/>
              </w:rPr>
              <w:t>Most engagements are remote. Assignment locations will be determined based on the client and project requirements. Current organizations, projects, and participants are not located in Puerto Rico; however, this could change as Success Measures portfolio of projects evolves during the period of performance.</w:t>
            </w:r>
          </w:p>
          <w:p w14:paraId="40BFA8E1" w14:textId="77777777" w:rsidR="00C41B92" w:rsidRPr="00C41B92" w:rsidRDefault="00C41B92" w:rsidP="00153E29">
            <w:pPr>
              <w:rPr>
                <w:rFonts w:asciiTheme="minorHAnsi" w:hAnsiTheme="minorHAnsi" w:cstheme="minorHAnsi"/>
              </w:rPr>
            </w:pPr>
          </w:p>
        </w:tc>
      </w:tr>
      <w:tr w:rsidR="00C41B92" w:rsidRPr="008539D0" w14:paraId="2D79CAB6" w14:textId="77777777" w:rsidTr="398504A0">
        <w:tc>
          <w:tcPr>
            <w:tcW w:w="5212" w:type="dxa"/>
            <w:tcMar>
              <w:top w:w="0" w:type="dxa"/>
              <w:left w:w="108" w:type="dxa"/>
              <w:bottom w:w="0" w:type="dxa"/>
              <w:right w:w="108" w:type="dxa"/>
            </w:tcMar>
          </w:tcPr>
          <w:p w14:paraId="4C84C246" w14:textId="77777777" w:rsidR="00C41B92" w:rsidRPr="00C41B92" w:rsidRDefault="00C41B92" w:rsidP="00C41B92">
            <w:pPr>
              <w:pStyle w:val="ListParagraph"/>
              <w:numPr>
                <w:ilvl w:val="0"/>
                <w:numId w:val="20"/>
              </w:numPr>
              <w:spacing w:after="120"/>
              <w:ind w:left="360"/>
              <w:rPr>
                <w:rFonts w:asciiTheme="minorHAnsi" w:hAnsiTheme="minorHAnsi" w:cstheme="minorHAnsi"/>
              </w:rPr>
            </w:pPr>
            <w:r w:rsidRPr="00C41B92">
              <w:rPr>
                <w:rFonts w:asciiTheme="minorHAnsi" w:hAnsiTheme="minorHAnsi" w:cstheme="minorHAnsi"/>
              </w:rPr>
              <w:t>Whether assignments involving interviews, workshops, facilitation, or technical assistance may be conducted in Spanish.</w:t>
            </w:r>
          </w:p>
          <w:p w14:paraId="2010ABA9" w14:textId="7915B6EF" w:rsidR="00C41B92" w:rsidRPr="00C41B92" w:rsidRDefault="00C41B92" w:rsidP="00C41B92">
            <w:pPr>
              <w:spacing w:after="120"/>
              <w:rPr>
                <w:rFonts w:asciiTheme="minorHAnsi" w:hAnsiTheme="minorHAnsi" w:cstheme="minorHAnsi"/>
              </w:rPr>
            </w:pPr>
          </w:p>
        </w:tc>
        <w:tc>
          <w:tcPr>
            <w:tcW w:w="4950" w:type="dxa"/>
            <w:tcMar>
              <w:top w:w="0" w:type="dxa"/>
              <w:left w:w="108" w:type="dxa"/>
              <w:bottom w:w="0" w:type="dxa"/>
              <w:right w:w="108" w:type="dxa"/>
            </w:tcMar>
          </w:tcPr>
          <w:p w14:paraId="3A962798" w14:textId="12D5230F" w:rsidR="00C41B92" w:rsidRPr="00C41B92" w:rsidRDefault="00C41B92" w:rsidP="00C41B92">
            <w:pPr>
              <w:rPr>
                <w:rFonts w:asciiTheme="minorHAnsi" w:hAnsiTheme="minorHAnsi" w:cstheme="minorHAnsi"/>
              </w:rPr>
            </w:pPr>
            <w:r w:rsidRPr="00C41B92">
              <w:rPr>
                <w:rFonts w:asciiTheme="minorHAnsi" w:hAnsiTheme="minorHAnsi" w:cstheme="minorHAnsi"/>
              </w:rPr>
              <w:t>Certain assignments may require Spanish language services including written materials, interviews, workshops, facilitation, technical assistance, etc. These needs cannot be determined in advance and will be identified on an assignment-specific basis. Success Measures has access to translation services if needed.</w:t>
            </w:r>
          </w:p>
        </w:tc>
      </w:tr>
      <w:tr w:rsidR="00C41B92" w:rsidRPr="008539D0" w14:paraId="52FA2E93" w14:textId="77777777" w:rsidTr="398504A0">
        <w:tc>
          <w:tcPr>
            <w:tcW w:w="5212" w:type="dxa"/>
            <w:tcMar>
              <w:top w:w="0" w:type="dxa"/>
              <w:left w:w="108" w:type="dxa"/>
              <w:bottom w:w="0" w:type="dxa"/>
              <w:right w:w="108" w:type="dxa"/>
            </w:tcMar>
          </w:tcPr>
          <w:p w14:paraId="09F94C3F" w14:textId="431AA2EC" w:rsidR="00C41B92" w:rsidRPr="00C41B92" w:rsidRDefault="00C41B92" w:rsidP="00C41B92">
            <w:pPr>
              <w:pStyle w:val="ListParagraph"/>
              <w:numPr>
                <w:ilvl w:val="0"/>
                <w:numId w:val="20"/>
              </w:numPr>
              <w:spacing w:after="120"/>
              <w:ind w:left="360"/>
              <w:rPr>
                <w:rFonts w:asciiTheme="minorHAnsi" w:hAnsiTheme="minorHAnsi" w:cstheme="minorHAnsi"/>
              </w:rPr>
            </w:pPr>
            <w:r w:rsidRPr="00C41B92">
              <w:rPr>
                <w:rFonts w:asciiTheme="minorHAnsi" w:hAnsiTheme="minorHAnsi" w:cstheme="minorHAnsi"/>
              </w:rPr>
              <w:t>Whether proposals, deliverables, and reports must be prepared exclusively in English, or whether Spanish-language work may be permitted for certain assignments.</w:t>
            </w:r>
          </w:p>
        </w:tc>
        <w:tc>
          <w:tcPr>
            <w:tcW w:w="4950" w:type="dxa"/>
            <w:tcMar>
              <w:top w:w="0" w:type="dxa"/>
              <w:left w:w="108" w:type="dxa"/>
              <w:bottom w:w="0" w:type="dxa"/>
              <w:right w:w="108" w:type="dxa"/>
            </w:tcMar>
          </w:tcPr>
          <w:p w14:paraId="3BEECB4D" w14:textId="42189C3E" w:rsidR="00C41B92" w:rsidRPr="00C41B92" w:rsidRDefault="00C41B92" w:rsidP="00153E29">
            <w:pPr>
              <w:rPr>
                <w:rFonts w:asciiTheme="minorHAnsi" w:hAnsiTheme="minorHAnsi" w:cstheme="minorHAnsi"/>
                <w:highlight w:val="yellow"/>
              </w:rPr>
            </w:pPr>
            <w:r w:rsidRPr="00C41B92">
              <w:rPr>
                <w:rFonts w:asciiTheme="minorHAnsi" w:hAnsiTheme="minorHAnsi" w:cstheme="minorHAnsi"/>
              </w:rPr>
              <w:t>Proposals must comply with the submission requirements stated in the RFP. Any Spanish-language deliverables, reports, or translation services that may be required or permitted for certain assignments will depend on project requirements. Specific language requirements will be established in advance when developing the scope of work with the consultant.</w:t>
            </w:r>
          </w:p>
        </w:tc>
      </w:tr>
    </w:tbl>
    <w:p w14:paraId="28877B4B" w14:textId="262D1C30" w:rsidR="00EC71A1" w:rsidRPr="00EF1DD7" w:rsidRDefault="00EC71A1" w:rsidP="003608B1">
      <w:pPr>
        <w:rPr>
          <w:rFonts w:asciiTheme="minorHAnsi" w:eastAsia="Times New Roman" w:hAnsiTheme="minorHAnsi" w:cstheme="minorHAnsi"/>
        </w:rPr>
      </w:pPr>
    </w:p>
    <w:sectPr w:rsidR="00EC71A1" w:rsidRPr="00EF1DD7" w:rsidSect="00422B9F">
      <w:headerReference w:type="default" r:id="rId9"/>
      <w:footerReference w:type="default" r:id="rId10"/>
      <w:pgSz w:w="12240" w:h="15840"/>
      <w:pgMar w:top="1440" w:right="1008" w:bottom="1008" w:left="1008" w:header="1008" w:footer="10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B2F90" w14:textId="77777777" w:rsidR="008A7B98" w:rsidRDefault="008A7B98">
      <w:r>
        <w:separator/>
      </w:r>
    </w:p>
  </w:endnote>
  <w:endnote w:type="continuationSeparator" w:id="0">
    <w:p w14:paraId="07F531E5" w14:textId="77777777" w:rsidR="008A7B98" w:rsidRDefault="008A7B98">
      <w:r>
        <w:continuationSeparator/>
      </w:r>
    </w:p>
  </w:endnote>
  <w:endnote w:type="continuationNotice" w:id="1">
    <w:p w14:paraId="4721FA36" w14:textId="77777777" w:rsidR="008A7B98" w:rsidRDefault="008A7B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57F8" w14:textId="77777777" w:rsidR="004E17B7" w:rsidRDefault="00AD11A8">
    <w:pPr>
      <w:pBdr>
        <w:top w:val="single" w:sz="4" w:space="1" w:color="000000"/>
        <w:left w:val="nil"/>
        <w:bottom w:val="nil"/>
        <w:right w:val="nil"/>
        <w:between w:val="nil"/>
      </w:pBdr>
      <w:tabs>
        <w:tab w:val="center" w:pos="4680"/>
        <w:tab w:val="right" w:pos="9360"/>
      </w:tabs>
      <w:jc w:val="center"/>
      <w:rPr>
        <w:color w:val="000000"/>
        <w:sz w:val="20"/>
        <w:szCs w:val="20"/>
      </w:rPr>
    </w:pPr>
    <w:r>
      <w:rPr>
        <w:color w:val="000000"/>
        <w:sz w:val="20"/>
        <w:szCs w:val="20"/>
      </w:rPr>
      <w:t xml:space="preserve">Page </w:t>
    </w:r>
    <w:r>
      <w:rPr>
        <w:b/>
        <w:color w:val="000000"/>
        <w:sz w:val="20"/>
        <w:szCs w:val="20"/>
      </w:rPr>
      <w:fldChar w:fldCharType="begin"/>
    </w:r>
    <w:r>
      <w:rPr>
        <w:b/>
        <w:color w:val="000000"/>
        <w:sz w:val="20"/>
        <w:szCs w:val="20"/>
      </w:rPr>
      <w:instrText>PAGE</w:instrText>
    </w:r>
    <w:r>
      <w:rPr>
        <w:b/>
        <w:color w:val="000000"/>
        <w:sz w:val="20"/>
        <w:szCs w:val="20"/>
      </w:rPr>
      <w:fldChar w:fldCharType="separate"/>
    </w:r>
    <w:r w:rsidR="003C1229">
      <w:rPr>
        <w:b/>
        <w:noProof/>
        <w:color w:val="000000"/>
        <w:sz w:val="20"/>
        <w:szCs w:val="20"/>
      </w:rPr>
      <w:t>1</w:t>
    </w:r>
    <w:r>
      <w:rPr>
        <w:b/>
        <w:color w:val="000000"/>
        <w:sz w:val="20"/>
        <w:szCs w:val="20"/>
      </w:rPr>
      <w:fldChar w:fldCharType="end"/>
    </w:r>
    <w:r>
      <w:rPr>
        <w:color w:val="000000"/>
        <w:sz w:val="20"/>
        <w:szCs w:val="20"/>
      </w:rPr>
      <w:t xml:space="preserve"> of </w:t>
    </w:r>
    <w:r>
      <w:rPr>
        <w:b/>
        <w:color w:val="000000"/>
        <w:sz w:val="20"/>
        <w:szCs w:val="20"/>
      </w:rPr>
      <w:fldChar w:fldCharType="begin"/>
    </w:r>
    <w:r>
      <w:rPr>
        <w:b/>
        <w:color w:val="000000"/>
        <w:sz w:val="20"/>
        <w:szCs w:val="20"/>
      </w:rPr>
      <w:instrText>NUMPAGES</w:instrText>
    </w:r>
    <w:r>
      <w:rPr>
        <w:b/>
        <w:color w:val="000000"/>
        <w:sz w:val="20"/>
        <w:szCs w:val="20"/>
      </w:rPr>
      <w:fldChar w:fldCharType="separate"/>
    </w:r>
    <w:r w:rsidR="003C1229">
      <w:rPr>
        <w:b/>
        <w:noProof/>
        <w:color w:val="000000"/>
        <w:sz w:val="20"/>
        <w:szCs w:val="20"/>
      </w:rPr>
      <w:t>2</w:t>
    </w:r>
    <w:r>
      <w:rPr>
        <w:b/>
        <w:color w:val="000000"/>
        <w:sz w:val="20"/>
        <w:szCs w:val="20"/>
      </w:rPr>
      <w:fldChar w:fldCharType="end"/>
    </w:r>
  </w:p>
  <w:p w14:paraId="64BCAB38" w14:textId="77777777" w:rsidR="004E17B7" w:rsidRDefault="004E17B7">
    <w:pPr>
      <w:pBdr>
        <w:top w:val="nil"/>
        <w:left w:val="nil"/>
        <w:bottom w:val="nil"/>
        <w:right w:val="nil"/>
        <w:between w:val="nil"/>
      </w:pBdr>
      <w:tabs>
        <w:tab w:val="center" w:pos="4680"/>
        <w:tab w:val="right" w:pos="9360"/>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AD670" w14:textId="77777777" w:rsidR="008A7B98" w:rsidRDefault="008A7B98">
      <w:r>
        <w:separator/>
      </w:r>
    </w:p>
  </w:footnote>
  <w:footnote w:type="continuationSeparator" w:id="0">
    <w:p w14:paraId="5DE69BE7" w14:textId="77777777" w:rsidR="008A7B98" w:rsidRDefault="008A7B98">
      <w:r>
        <w:continuationSeparator/>
      </w:r>
    </w:p>
  </w:footnote>
  <w:footnote w:type="continuationNotice" w:id="1">
    <w:p w14:paraId="26B35099" w14:textId="77777777" w:rsidR="008A7B98" w:rsidRDefault="008A7B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764AD" w14:textId="1A29EE51" w:rsidR="004E17B7" w:rsidRDefault="00AD11A8" w:rsidP="00D4186B">
    <w:pPr>
      <w:pBdr>
        <w:top w:val="nil"/>
        <w:left w:val="nil"/>
        <w:bottom w:val="single" w:sz="4" w:space="1" w:color="auto"/>
        <w:right w:val="nil"/>
        <w:between w:val="nil"/>
      </w:pBdr>
      <w:tabs>
        <w:tab w:val="center" w:pos="4680"/>
        <w:tab w:val="right" w:pos="9360"/>
      </w:tabs>
      <w:spacing w:after="240"/>
      <w:rPr>
        <w:color w:val="000000"/>
      </w:rPr>
    </w:pPr>
    <w:r>
      <w:rPr>
        <w:noProof/>
        <w:color w:val="000000"/>
      </w:rPr>
      <w:drawing>
        <wp:inline distT="0" distB="0" distL="0" distR="0" wp14:anchorId="79E76F85" wp14:editId="3EAE3156">
          <wp:extent cx="1216152" cy="493776"/>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16152" cy="493776"/>
                  </a:xfrm>
                  <a:prstGeom prst="rect">
                    <a:avLst/>
                  </a:prstGeom>
                  <a:ln/>
                </pic:spPr>
              </pic:pic>
            </a:graphicData>
          </a:graphic>
        </wp:inline>
      </w:drawing>
    </w:r>
    <w:r>
      <w:rPr>
        <w:color w:val="000000"/>
      </w:rPr>
      <w:tab/>
    </w:r>
    <w:r>
      <w:rPr>
        <w:b/>
        <w:color w:val="000000"/>
      </w:rPr>
      <w:t>Request for Proposal, Offer and Acceptance of Award</w:t>
    </w:r>
    <w:r>
      <w:rPr>
        <w:b/>
        <w:color w:val="000000"/>
      </w:rPr>
      <w:tab/>
    </w:r>
    <w:r w:rsidR="002958A3">
      <w:rPr>
        <w:b/>
        <w:color w:val="000000"/>
      </w:rPr>
      <w:t>RFP-2</w:t>
    </w:r>
    <w:r w:rsidR="001E6938">
      <w:rPr>
        <w:b/>
        <w:color w:val="000000"/>
      </w:rPr>
      <w:t>6-0029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9E2"/>
    <w:multiLevelType w:val="hybridMultilevel"/>
    <w:tmpl w:val="38568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2630ED"/>
    <w:multiLevelType w:val="hybridMultilevel"/>
    <w:tmpl w:val="FAC61618"/>
    <w:lvl w:ilvl="0" w:tplc="75603F70">
      <w:start w:val="1"/>
      <w:numFmt w:val="lowerLetter"/>
      <w:lvlText w:val="%1."/>
      <w:lvlJc w:val="left"/>
      <w:pPr>
        <w:ind w:left="1635" w:hanging="12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D261E2"/>
    <w:multiLevelType w:val="hybridMultilevel"/>
    <w:tmpl w:val="CB728D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C45D92"/>
    <w:multiLevelType w:val="hybridMultilevel"/>
    <w:tmpl w:val="0B1C8E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826C6D"/>
    <w:multiLevelType w:val="hybridMultilevel"/>
    <w:tmpl w:val="ADAC32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347D82"/>
    <w:multiLevelType w:val="hybridMultilevel"/>
    <w:tmpl w:val="8F761F40"/>
    <w:lvl w:ilvl="0" w:tplc="0409000F">
      <w:start w:val="1"/>
      <w:numFmt w:val="decimal"/>
      <w:lvlText w:val="%1."/>
      <w:lvlJc w:val="left"/>
      <w:pPr>
        <w:ind w:left="720" w:hanging="360"/>
      </w:pPr>
    </w:lvl>
    <w:lvl w:ilvl="1" w:tplc="374E0910">
      <w:start w:val="1"/>
      <w:numFmt w:val="lowerLetter"/>
      <w:lvlText w:val="%2."/>
      <w:lvlJc w:val="left"/>
      <w:pPr>
        <w:ind w:left="1800" w:hanging="720"/>
      </w:pPr>
      <w:rPr>
        <w:rFonts w:hint="default"/>
      </w:rPr>
    </w:lvl>
    <w:lvl w:ilvl="2" w:tplc="0409001B">
      <w:start w:val="1"/>
      <w:numFmt w:val="lowerRoman"/>
      <w:lvlText w:val="%3."/>
      <w:lvlJc w:val="right"/>
      <w:pPr>
        <w:ind w:left="2160" w:hanging="180"/>
      </w:pPr>
    </w:lvl>
    <w:lvl w:ilvl="3" w:tplc="57722C1E">
      <w:start w:val="1"/>
      <w:numFmt w:val="upp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C71248"/>
    <w:multiLevelType w:val="hybridMultilevel"/>
    <w:tmpl w:val="40C6575E"/>
    <w:lvl w:ilvl="0" w:tplc="30A0C28E">
      <w:start w:val="11"/>
      <w:numFmt w:val="bullet"/>
      <w:lvlText w:val="•"/>
      <w:lvlJc w:val="left"/>
      <w:pPr>
        <w:ind w:left="1080" w:hanging="7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EC6BAC"/>
    <w:multiLevelType w:val="hybridMultilevel"/>
    <w:tmpl w:val="F834A7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00376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225D8E"/>
    <w:multiLevelType w:val="hybridMultilevel"/>
    <w:tmpl w:val="EF96FD54"/>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05C4E41"/>
    <w:multiLevelType w:val="multilevel"/>
    <w:tmpl w:val="AD6236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2D76349"/>
    <w:multiLevelType w:val="hybridMultilevel"/>
    <w:tmpl w:val="8492514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A42059"/>
    <w:multiLevelType w:val="hybridMultilevel"/>
    <w:tmpl w:val="6DB659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1F60400"/>
    <w:multiLevelType w:val="multilevel"/>
    <w:tmpl w:val="30D6F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2D866E4"/>
    <w:multiLevelType w:val="hybridMultilevel"/>
    <w:tmpl w:val="8C74DD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C876687"/>
    <w:multiLevelType w:val="hybridMultilevel"/>
    <w:tmpl w:val="19E2791E"/>
    <w:lvl w:ilvl="0" w:tplc="04090019">
      <w:start w:val="1"/>
      <w:numFmt w:val="lowerLetter"/>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6" w15:restartNumberingAfterBreak="0">
    <w:nsid w:val="5DB95855"/>
    <w:multiLevelType w:val="multilevel"/>
    <w:tmpl w:val="AD6236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FB85ED8"/>
    <w:multiLevelType w:val="hybridMultilevel"/>
    <w:tmpl w:val="432C5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6E20A6"/>
    <w:multiLevelType w:val="hybridMultilevel"/>
    <w:tmpl w:val="227416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7132320"/>
    <w:multiLevelType w:val="hybridMultilevel"/>
    <w:tmpl w:val="6DB659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68747A3E"/>
    <w:multiLevelType w:val="hybridMultilevel"/>
    <w:tmpl w:val="633C5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B65E77"/>
    <w:multiLevelType w:val="hybridMultilevel"/>
    <w:tmpl w:val="C5386E12"/>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F1A630F"/>
    <w:multiLevelType w:val="hybridMultilevel"/>
    <w:tmpl w:val="6DB659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7FD72F0C"/>
    <w:multiLevelType w:val="hybridMultilevel"/>
    <w:tmpl w:val="205821F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7800197">
    <w:abstractNumId w:val="10"/>
  </w:num>
  <w:num w:numId="2" w16cid:durableId="1829975652">
    <w:abstractNumId w:val="16"/>
  </w:num>
  <w:num w:numId="3" w16cid:durableId="931402266">
    <w:abstractNumId w:val="4"/>
  </w:num>
  <w:num w:numId="4" w16cid:durableId="21394508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97247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32028424">
    <w:abstractNumId w:val="22"/>
  </w:num>
  <w:num w:numId="7" w16cid:durableId="691029404">
    <w:abstractNumId w:val="19"/>
  </w:num>
  <w:num w:numId="8" w16cid:durableId="228343271">
    <w:abstractNumId w:val="5"/>
  </w:num>
  <w:num w:numId="9" w16cid:durableId="1899172238">
    <w:abstractNumId w:val="1"/>
  </w:num>
  <w:num w:numId="10" w16cid:durableId="2144955433">
    <w:abstractNumId w:val="7"/>
  </w:num>
  <w:num w:numId="11" w16cid:durableId="712310835">
    <w:abstractNumId w:val="11"/>
  </w:num>
  <w:num w:numId="12" w16cid:durableId="1650985730">
    <w:abstractNumId w:val="23"/>
  </w:num>
  <w:num w:numId="13" w16cid:durableId="1745837167">
    <w:abstractNumId w:val="15"/>
  </w:num>
  <w:num w:numId="14" w16cid:durableId="329917903">
    <w:abstractNumId w:val="8"/>
  </w:num>
  <w:num w:numId="15" w16cid:durableId="2091613666">
    <w:abstractNumId w:val="3"/>
  </w:num>
  <w:num w:numId="16" w16cid:durableId="1280720283">
    <w:abstractNumId w:val="6"/>
  </w:num>
  <w:num w:numId="17" w16cid:durableId="2026781424">
    <w:abstractNumId w:val="13"/>
  </w:num>
  <w:num w:numId="18" w16cid:durableId="502164603">
    <w:abstractNumId w:val="2"/>
  </w:num>
  <w:num w:numId="19" w16cid:durableId="1719625227">
    <w:abstractNumId w:val="9"/>
  </w:num>
  <w:num w:numId="20" w16cid:durableId="1964726751">
    <w:abstractNumId w:val="0"/>
  </w:num>
  <w:num w:numId="21" w16cid:durableId="887374284">
    <w:abstractNumId w:val="21"/>
  </w:num>
  <w:num w:numId="22" w16cid:durableId="1996252769">
    <w:abstractNumId w:val="17"/>
  </w:num>
  <w:num w:numId="23" w16cid:durableId="2072458964">
    <w:abstractNumId w:val="20"/>
  </w:num>
  <w:num w:numId="24" w16cid:durableId="12468456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7B7"/>
    <w:rsid w:val="000001FF"/>
    <w:rsid w:val="000014C1"/>
    <w:rsid w:val="0000161B"/>
    <w:rsid w:val="000039BF"/>
    <w:rsid w:val="00015BEA"/>
    <w:rsid w:val="000178E2"/>
    <w:rsid w:val="00023EDB"/>
    <w:rsid w:val="000338B6"/>
    <w:rsid w:val="00046373"/>
    <w:rsid w:val="00046D21"/>
    <w:rsid w:val="000517B0"/>
    <w:rsid w:val="000522FE"/>
    <w:rsid w:val="00052AE7"/>
    <w:rsid w:val="000931F8"/>
    <w:rsid w:val="00095B2E"/>
    <w:rsid w:val="00095BA4"/>
    <w:rsid w:val="000A0E38"/>
    <w:rsid w:val="000A4AD6"/>
    <w:rsid w:val="000B027B"/>
    <w:rsid w:val="000E22C1"/>
    <w:rsid w:val="000F065C"/>
    <w:rsid w:val="001037BB"/>
    <w:rsid w:val="00120A8B"/>
    <w:rsid w:val="00125808"/>
    <w:rsid w:val="00126792"/>
    <w:rsid w:val="001536ED"/>
    <w:rsid w:val="00153E29"/>
    <w:rsid w:val="00156650"/>
    <w:rsid w:val="00195D2F"/>
    <w:rsid w:val="001A6FBA"/>
    <w:rsid w:val="001C1F1C"/>
    <w:rsid w:val="001C5F3F"/>
    <w:rsid w:val="001D56C8"/>
    <w:rsid w:val="001D6DBF"/>
    <w:rsid w:val="001D7A00"/>
    <w:rsid w:val="001D7BD2"/>
    <w:rsid w:val="001E01C6"/>
    <w:rsid w:val="001E4C94"/>
    <w:rsid w:val="001E6938"/>
    <w:rsid w:val="001F3A6E"/>
    <w:rsid w:val="001F3CA0"/>
    <w:rsid w:val="002038A4"/>
    <w:rsid w:val="00204F02"/>
    <w:rsid w:val="00211620"/>
    <w:rsid w:val="002126B6"/>
    <w:rsid w:val="002129C3"/>
    <w:rsid w:val="00213576"/>
    <w:rsid w:val="002162C0"/>
    <w:rsid w:val="00231420"/>
    <w:rsid w:val="00232834"/>
    <w:rsid w:val="0025264E"/>
    <w:rsid w:val="0025593A"/>
    <w:rsid w:val="002617A4"/>
    <w:rsid w:val="002628A5"/>
    <w:rsid w:val="0026310C"/>
    <w:rsid w:val="0026510B"/>
    <w:rsid w:val="002930D0"/>
    <w:rsid w:val="002958A3"/>
    <w:rsid w:val="002A5055"/>
    <w:rsid w:val="002C5A8E"/>
    <w:rsid w:val="00300EFE"/>
    <w:rsid w:val="0030396B"/>
    <w:rsid w:val="00305969"/>
    <w:rsid w:val="00305D04"/>
    <w:rsid w:val="00310B91"/>
    <w:rsid w:val="00312FAB"/>
    <w:rsid w:val="00315916"/>
    <w:rsid w:val="00325AF8"/>
    <w:rsid w:val="003317E4"/>
    <w:rsid w:val="00335A13"/>
    <w:rsid w:val="003507F6"/>
    <w:rsid w:val="003578DA"/>
    <w:rsid w:val="00360878"/>
    <w:rsid w:val="003608B1"/>
    <w:rsid w:val="003647B8"/>
    <w:rsid w:val="00390CBD"/>
    <w:rsid w:val="00395D1E"/>
    <w:rsid w:val="003A64DF"/>
    <w:rsid w:val="003B58C9"/>
    <w:rsid w:val="003C1229"/>
    <w:rsid w:val="003C7C2A"/>
    <w:rsid w:val="003D15E8"/>
    <w:rsid w:val="003D601E"/>
    <w:rsid w:val="003E23B2"/>
    <w:rsid w:val="003E49D8"/>
    <w:rsid w:val="003F179A"/>
    <w:rsid w:val="0040340D"/>
    <w:rsid w:val="00404C6E"/>
    <w:rsid w:val="0041593B"/>
    <w:rsid w:val="00422B9F"/>
    <w:rsid w:val="00426775"/>
    <w:rsid w:val="00427353"/>
    <w:rsid w:val="0044384B"/>
    <w:rsid w:val="00461898"/>
    <w:rsid w:val="004746B8"/>
    <w:rsid w:val="00480939"/>
    <w:rsid w:val="004913AA"/>
    <w:rsid w:val="0049349E"/>
    <w:rsid w:val="004971DF"/>
    <w:rsid w:val="004C5298"/>
    <w:rsid w:val="004E17B7"/>
    <w:rsid w:val="004E6BD8"/>
    <w:rsid w:val="004F0025"/>
    <w:rsid w:val="004F1C80"/>
    <w:rsid w:val="004F77E6"/>
    <w:rsid w:val="00510578"/>
    <w:rsid w:val="0051156C"/>
    <w:rsid w:val="0054182A"/>
    <w:rsid w:val="00543FDD"/>
    <w:rsid w:val="00544B9F"/>
    <w:rsid w:val="005455F8"/>
    <w:rsid w:val="00546436"/>
    <w:rsid w:val="005547B7"/>
    <w:rsid w:val="005562EF"/>
    <w:rsid w:val="00557A8A"/>
    <w:rsid w:val="00560597"/>
    <w:rsid w:val="005611F3"/>
    <w:rsid w:val="005638E4"/>
    <w:rsid w:val="00570549"/>
    <w:rsid w:val="005745EF"/>
    <w:rsid w:val="00574E09"/>
    <w:rsid w:val="005923F8"/>
    <w:rsid w:val="005926DE"/>
    <w:rsid w:val="005A29BC"/>
    <w:rsid w:val="005A5E21"/>
    <w:rsid w:val="005B5E02"/>
    <w:rsid w:val="005C4CB2"/>
    <w:rsid w:val="005C5BD5"/>
    <w:rsid w:val="005E0BBA"/>
    <w:rsid w:val="005E297E"/>
    <w:rsid w:val="005F0A29"/>
    <w:rsid w:val="005F3A39"/>
    <w:rsid w:val="00606AF2"/>
    <w:rsid w:val="006113F5"/>
    <w:rsid w:val="00630CE5"/>
    <w:rsid w:val="00632FF1"/>
    <w:rsid w:val="0065603D"/>
    <w:rsid w:val="00662151"/>
    <w:rsid w:val="006671C5"/>
    <w:rsid w:val="00674FEE"/>
    <w:rsid w:val="006761F9"/>
    <w:rsid w:val="00680562"/>
    <w:rsid w:val="00680EC1"/>
    <w:rsid w:val="00683C7D"/>
    <w:rsid w:val="00690DA6"/>
    <w:rsid w:val="00695C5A"/>
    <w:rsid w:val="006A1AE8"/>
    <w:rsid w:val="006A2F16"/>
    <w:rsid w:val="006B462B"/>
    <w:rsid w:val="006C0F5A"/>
    <w:rsid w:val="006C2E5E"/>
    <w:rsid w:val="006C5762"/>
    <w:rsid w:val="006C5C12"/>
    <w:rsid w:val="006C6078"/>
    <w:rsid w:val="006D02DF"/>
    <w:rsid w:val="006D5193"/>
    <w:rsid w:val="006D608B"/>
    <w:rsid w:val="006D6737"/>
    <w:rsid w:val="006E6646"/>
    <w:rsid w:val="006F6B21"/>
    <w:rsid w:val="007078ED"/>
    <w:rsid w:val="007111BC"/>
    <w:rsid w:val="00711A5C"/>
    <w:rsid w:val="00714825"/>
    <w:rsid w:val="00725AD8"/>
    <w:rsid w:val="00741298"/>
    <w:rsid w:val="00746BFD"/>
    <w:rsid w:val="00766967"/>
    <w:rsid w:val="00773F2D"/>
    <w:rsid w:val="00786294"/>
    <w:rsid w:val="00790F80"/>
    <w:rsid w:val="00792D46"/>
    <w:rsid w:val="007A5B7B"/>
    <w:rsid w:val="007B03FE"/>
    <w:rsid w:val="007B1A5D"/>
    <w:rsid w:val="007B54CE"/>
    <w:rsid w:val="007D1509"/>
    <w:rsid w:val="007D77D9"/>
    <w:rsid w:val="007E08EC"/>
    <w:rsid w:val="007F1552"/>
    <w:rsid w:val="007F4A65"/>
    <w:rsid w:val="00802E4E"/>
    <w:rsid w:val="00805009"/>
    <w:rsid w:val="00813A55"/>
    <w:rsid w:val="008216E8"/>
    <w:rsid w:val="00821CF2"/>
    <w:rsid w:val="00830ACD"/>
    <w:rsid w:val="008346CB"/>
    <w:rsid w:val="00840F42"/>
    <w:rsid w:val="00842FF0"/>
    <w:rsid w:val="0084378E"/>
    <w:rsid w:val="008539D0"/>
    <w:rsid w:val="00863F5B"/>
    <w:rsid w:val="00864A5E"/>
    <w:rsid w:val="008942EF"/>
    <w:rsid w:val="008A0560"/>
    <w:rsid w:val="008A1D64"/>
    <w:rsid w:val="008A24AC"/>
    <w:rsid w:val="008A646D"/>
    <w:rsid w:val="008A7B98"/>
    <w:rsid w:val="008B68E4"/>
    <w:rsid w:val="008B6F57"/>
    <w:rsid w:val="008B74EE"/>
    <w:rsid w:val="008C31D4"/>
    <w:rsid w:val="008C53B5"/>
    <w:rsid w:val="008C7857"/>
    <w:rsid w:val="008D294E"/>
    <w:rsid w:val="008E7FB0"/>
    <w:rsid w:val="008F64F3"/>
    <w:rsid w:val="009062A8"/>
    <w:rsid w:val="009078C8"/>
    <w:rsid w:val="00913120"/>
    <w:rsid w:val="009302E5"/>
    <w:rsid w:val="00930E58"/>
    <w:rsid w:val="0093637B"/>
    <w:rsid w:val="00937E1C"/>
    <w:rsid w:val="0094291F"/>
    <w:rsid w:val="00953AFE"/>
    <w:rsid w:val="00962208"/>
    <w:rsid w:val="00962E81"/>
    <w:rsid w:val="009647D2"/>
    <w:rsid w:val="009651CB"/>
    <w:rsid w:val="009809AE"/>
    <w:rsid w:val="009853C0"/>
    <w:rsid w:val="00985794"/>
    <w:rsid w:val="00990EC3"/>
    <w:rsid w:val="00993208"/>
    <w:rsid w:val="00996DFE"/>
    <w:rsid w:val="009A1B28"/>
    <w:rsid w:val="009B1233"/>
    <w:rsid w:val="009B21E5"/>
    <w:rsid w:val="009B4C7C"/>
    <w:rsid w:val="009C2F11"/>
    <w:rsid w:val="009D0990"/>
    <w:rsid w:val="009E65E1"/>
    <w:rsid w:val="009E6EB5"/>
    <w:rsid w:val="00A0022A"/>
    <w:rsid w:val="00A00C09"/>
    <w:rsid w:val="00A11DBC"/>
    <w:rsid w:val="00A11E15"/>
    <w:rsid w:val="00A16A50"/>
    <w:rsid w:val="00A22DFD"/>
    <w:rsid w:val="00A26B80"/>
    <w:rsid w:val="00A279C7"/>
    <w:rsid w:val="00A27A8B"/>
    <w:rsid w:val="00A304B4"/>
    <w:rsid w:val="00A36374"/>
    <w:rsid w:val="00A363C2"/>
    <w:rsid w:val="00A36E67"/>
    <w:rsid w:val="00A405EB"/>
    <w:rsid w:val="00A54A34"/>
    <w:rsid w:val="00A56F34"/>
    <w:rsid w:val="00A600D8"/>
    <w:rsid w:val="00A65F1B"/>
    <w:rsid w:val="00A81240"/>
    <w:rsid w:val="00A90C22"/>
    <w:rsid w:val="00A955E2"/>
    <w:rsid w:val="00A964BD"/>
    <w:rsid w:val="00AA0B28"/>
    <w:rsid w:val="00AA10D0"/>
    <w:rsid w:val="00AB155B"/>
    <w:rsid w:val="00AB1DB6"/>
    <w:rsid w:val="00AB265A"/>
    <w:rsid w:val="00AC0741"/>
    <w:rsid w:val="00AC2087"/>
    <w:rsid w:val="00AC42DA"/>
    <w:rsid w:val="00AC5943"/>
    <w:rsid w:val="00AC73E0"/>
    <w:rsid w:val="00AD11A8"/>
    <w:rsid w:val="00AD5A30"/>
    <w:rsid w:val="00AF0020"/>
    <w:rsid w:val="00AF0E27"/>
    <w:rsid w:val="00AF7EE8"/>
    <w:rsid w:val="00B155A8"/>
    <w:rsid w:val="00B22910"/>
    <w:rsid w:val="00B320B6"/>
    <w:rsid w:val="00B342F1"/>
    <w:rsid w:val="00B3585B"/>
    <w:rsid w:val="00B43EA6"/>
    <w:rsid w:val="00B444B7"/>
    <w:rsid w:val="00B45ACC"/>
    <w:rsid w:val="00B46F1B"/>
    <w:rsid w:val="00B513D4"/>
    <w:rsid w:val="00B61082"/>
    <w:rsid w:val="00B6271F"/>
    <w:rsid w:val="00B64A0E"/>
    <w:rsid w:val="00B7535A"/>
    <w:rsid w:val="00B80528"/>
    <w:rsid w:val="00B84996"/>
    <w:rsid w:val="00B84FB2"/>
    <w:rsid w:val="00B90976"/>
    <w:rsid w:val="00B92347"/>
    <w:rsid w:val="00B9488A"/>
    <w:rsid w:val="00BB4587"/>
    <w:rsid w:val="00BB7E58"/>
    <w:rsid w:val="00BC307E"/>
    <w:rsid w:val="00BD3A06"/>
    <w:rsid w:val="00BF3724"/>
    <w:rsid w:val="00C0012B"/>
    <w:rsid w:val="00C02C5C"/>
    <w:rsid w:val="00C13BAB"/>
    <w:rsid w:val="00C25162"/>
    <w:rsid w:val="00C37780"/>
    <w:rsid w:val="00C41B92"/>
    <w:rsid w:val="00C46F36"/>
    <w:rsid w:val="00C53EC3"/>
    <w:rsid w:val="00C65A71"/>
    <w:rsid w:val="00C76C91"/>
    <w:rsid w:val="00C77703"/>
    <w:rsid w:val="00C90EF1"/>
    <w:rsid w:val="00C96C6E"/>
    <w:rsid w:val="00CA3252"/>
    <w:rsid w:val="00CA329C"/>
    <w:rsid w:val="00CA7AE4"/>
    <w:rsid w:val="00CB21EA"/>
    <w:rsid w:val="00CB766F"/>
    <w:rsid w:val="00CC2200"/>
    <w:rsid w:val="00CC75E4"/>
    <w:rsid w:val="00CD5D4B"/>
    <w:rsid w:val="00CE3F0C"/>
    <w:rsid w:val="00CE5DAF"/>
    <w:rsid w:val="00CF2C65"/>
    <w:rsid w:val="00CF592C"/>
    <w:rsid w:val="00D00A52"/>
    <w:rsid w:val="00D0674A"/>
    <w:rsid w:val="00D21120"/>
    <w:rsid w:val="00D2320F"/>
    <w:rsid w:val="00D30B0D"/>
    <w:rsid w:val="00D37630"/>
    <w:rsid w:val="00D4186B"/>
    <w:rsid w:val="00D42A15"/>
    <w:rsid w:val="00D4719E"/>
    <w:rsid w:val="00D517AA"/>
    <w:rsid w:val="00D55FC7"/>
    <w:rsid w:val="00D71B02"/>
    <w:rsid w:val="00D86AE9"/>
    <w:rsid w:val="00D87256"/>
    <w:rsid w:val="00DA4264"/>
    <w:rsid w:val="00DA5EAF"/>
    <w:rsid w:val="00DB00E4"/>
    <w:rsid w:val="00DB7C16"/>
    <w:rsid w:val="00DC0027"/>
    <w:rsid w:val="00DC423F"/>
    <w:rsid w:val="00DD3408"/>
    <w:rsid w:val="00DD38FE"/>
    <w:rsid w:val="00DD6C90"/>
    <w:rsid w:val="00DD768E"/>
    <w:rsid w:val="00DE261E"/>
    <w:rsid w:val="00DF67A4"/>
    <w:rsid w:val="00E00D5D"/>
    <w:rsid w:val="00E07324"/>
    <w:rsid w:val="00E13BF3"/>
    <w:rsid w:val="00E2073E"/>
    <w:rsid w:val="00E20CDF"/>
    <w:rsid w:val="00E3071B"/>
    <w:rsid w:val="00E31D53"/>
    <w:rsid w:val="00E33BB4"/>
    <w:rsid w:val="00E431A1"/>
    <w:rsid w:val="00E46AF1"/>
    <w:rsid w:val="00E531F8"/>
    <w:rsid w:val="00E55FB9"/>
    <w:rsid w:val="00E5785C"/>
    <w:rsid w:val="00E61645"/>
    <w:rsid w:val="00E6297C"/>
    <w:rsid w:val="00E663B1"/>
    <w:rsid w:val="00E67335"/>
    <w:rsid w:val="00E757DE"/>
    <w:rsid w:val="00E805D8"/>
    <w:rsid w:val="00E83F12"/>
    <w:rsid w:val="00E95A9D"/>
    <w:rsid w:val="00EA037C"/>
    <w:rsid w:val="00EA33B8"/>
    <w:rsid w:val="00EA7BD1"/>
    <w:rsid w:val="00EB4AFF"/>
    <w:rsid w:val="00EC71A1"/>
    <w:rsid w:val="00ED5BD7"/>
    <w:rsid w:val="00EE1285"/>
    <w:rsid w:val="00EE6C38"/>
    <w:rsid w:val="00EF0F13"/>
    <w:rsid w:val="00EF1DD7"/>
    <w:rsid w:val="00F07FC6"/>
    <w:rsid w:val="00F21E4D"/>
    <w:rsid w:val="00F30006"/>
    <w:rsid w:val="00F34CB7"/>
    <w:rsid w:val="00F36818"/>
    <w:rsid w:val="00F479FE"/>
    <w:rsid w:val="00F632B9"/>
    <w:rsid w:val="00F6541C"/>
    <w:rsid w:val="00F71D03"/>
    <w:rsid w:val="00F72BB4"/>
    <w:rsid w:val="00F73D74"/>
    <w:rsid w:val="00F73ECB"/>
    <w:rsid w:val="00F754A5"/>
    <w:rsid w:val="00F7583E"/>
    <w:rsid w:val="00F838C8"/>
    <w:rsid w:val="00F83A15"/>
    <w:rsid w:val="00F85343"/>
    <w:rsid w:val="00F869AF"/>
    <w:rsid w:val="00FA540D"/>
    <w:rsid w:val="00FB17BC"/>
    <w:rsid w:val="00FC7900"/>
    <w:rsid w:val="00FD310A"/>
    <w:rsid w:val="00FD35C3"/>
    <w:rsid w:val="00FD5EFB"/>
    <w:rsid w:val="00FD6FBC"/>
    <w:rsid w:val="00FF178C"/>
    <w:rsid w:val="00FF2975"/>
    <w:rsid w:val="01ADDA96"/>
    <w:rsid w:val="01F4F944"/>
    <w:rsid w:val="02174A73"/>
    <w:rsid w:val="0247C701"/>
    <w:rsid w:val="026ADAF7"/>
    <w:rsid w:val="029147E7"/>
    <w:rsid w:val="0292020C"/>
    <w:rsid w:val="0323B30B"/>
    <w:rsid w:val="03ADC9E5"/>
    <w:rsid w:val="03B20278"/>
    <w:rsid w:val="03D74D4B"/>
    <w:rsid w:val="041F5DD6"/>
    <w:rsid w:val="042F36B9"/>
    <w:rsid w:val="043DFB54"/>
    <w:rsid w:val="049326DF"/>
    <w:rsid w:val="055618AB"/>
    <w:rsid w:val="05987177"/>
    <w:rsid w:val="05A1987A"/>
    <w:rsid w:val="05A2D491"/>
    <w:rsid w:val="05FBF69D"/>
    <w:rsid w:val="0639F9B0"/>
    <w:rsid w:val="068358B6"/>
    <w:rsid w:val="06918B7B"/>
    <w:rsid w:val="06E99A40"/>
    <w:rsid w:val="07153E22"/>
    <w:rsid w:val="072DC6C2"/>
    <w:rsid w:val="078A83FC"/>
    <w:rsid w:val="0797F489"/>
    <w:rsid w:val="07A0E812"/>
    <w:rsid w:val="07A53D93"/>
    <w:rsid w:val="07CCA1A6"/>
    <w:rsid w:val="07CE6736"/>
    <w:rsid w:val="07EF6129"/>
    <w:rsid w:val="07F51995"/>
    <w:rsid w:val="0864766D"/>
    <w:rsid w:val="08684117"/>
    <w:rsid w:val="08886F1D"/>
    <w:rsid w:val="08915D7A"/>
    <w:rsid w:val="08B7CC07"/>
    <w:rsid w:val="09DC4044"/>
    <w:rsid w:val="0A11E981"/>
    <w:rsid w:val="0A12587B"/>
    <w:rsid w:val="0A2CAB03"/>
    <w:rsid w:val="0A472609"/>
    <w:rsid w:val="0A612549"/>
    <w:rsid w:val="0A6160C6"/>
    <w:rsid w:val="0A66D2FD"/>
    <w:rsid w:val="0AA62725"/>
    <w:rsid w:val="0B0F4D76"/>
    <w:rsid w:val="0B27C800"/>
    <w:rsid w:val="0B2A0BFE"/>
    <w:rsid w:val="0B429B29"/>
    <w:rsid w:val="0B7FD19E"/>
    <w:rsid w:val="0B9AAA5D"/>
    <w:rsid w:val="0C3F418D"/>
    <w:rsid w:val="0C5923F8"/>
    <w:rsid w:val="0C5EC11C"/>
    <w:rsid w:val="0D10484A"/>
    <w:rsid w:val="0D18832F"/>
    <w:rsid w:val="0D28FE6A"/>
    <w:rsid w:val="0D386C81"/>
    <w:rsid w:val="0D7B9F11"/>
    <w:rsid w:val="0D948DC6"/>
    <w:rsid w:val="0D9A8B15"/>
    <w:rsid w:val="0DA858FB"/>
    <w:rsid w:val="0E2382E0"/>
    <w:rsid w:val="0E4DC581"/>
    <w:rsid w:val="0E8A8DCB"/>
    <w:rsid w:val="0EA2FE5D"/>
    <w:rsid w:val="0EBD795F"/>
    <w:rsid w:val="0EFFCF22"/>
    <w:rsid w:val="0F25111D"/>
    <w:rsid w:val="0F6CF23E"/>
    <w:rsid w:val="0F81E5B0"/>
    <w:rsid w:val="100C027E"/>
    <w:rsid w:val="10BBB035"/>
    <w:rsid w:val="10F17020"/>
    <w:rsid w:val="113C1B78"/>
    <w:rsid w:val="1157B161"/>
    <w:rsid w:val="116935FB"/>
    <w:rsid w:val="117C5D72"/>
    <w:rsid w:val="118B1F02"/>
    <w:rsid w:val="118BEA4D"/>
    <w:rsid w:val="11BE06E1"/>
    <w:rsid w:val="11E20EC0"/>
    <w:rsid w:val="11F76FC5"/>
    <w:rsid w:val="121F75F0"/>
    <w:rsid w:val="127E1EBF"/>
    <w:rsid w:val="1295E52E"/>
    <w:rsid w:val="12FB2CC5"/>
    <w:rsid w:val="1344DAD3"/>
    <w:rsid w:val="1416E370"/>
    <w:rsid w:val="14394415"/>
    <w:rsid w:val="145DE449"/>
    <w:rsid w:val="1460D7CC"/>
    <w:rsid w:val="14CCE73C"/>
    <w:rsid w:val="14F3F5C6"/>
    <w:rsid w:val="150CA856"/>
    <w:rsid w:val="161A7049"/>
    <w:rsid w:val="1627AAF5"/>
    <w:rsid w:val="162E107D"/>
    <w:rsid w:val="1630E2A0"/>
    <w:rsid w:val="166C5AA9"/>
    <w:rsid w:val="166FF626"/>
    <w:rsid w:val="16A72F51"/>
    <w:rsid w:val="16B7325C"/>
    <w:rsid w:val="16B8E7F0"/>
    <w:rsid w:val="16F222EE"/>
    <w:rsid w:val="16F5BE90"/>
    <w:rsid w:val="17610002"/>
    <w:rsid w:val="177656AF"/>
    <w:rsid w:val="17D76071"/>
    <w:rsid w:val="18098CD4"/>
    <w:rsid w:val="1858DF62"/>
    <w:rsid w:val="186A25D0"/>
    <w:rsid w:val="18798748"/>
    <w:rsid w:val="19477BD8"/>
    <w:rsid w:val="1956B27A"/>
    <w:rsid w:val="19603EFB"/>
    <w:rsid w:val="197CA92B"/>
    <w:rsid w:val="19AAD05D"/>
    <w:rsid w:val="1A4CFD4A"/>
    <w:rsid w:val="1A7FC4EA"/>
    <w:rsid w:val="1AC32881"/>
    <w:rsid w:val="1B0D012F"/>
    <w:rsid w:val="1BB86419"/>
    <w:rsid w:val="1C2C9676"/>
    <w:rsid w:val="1C603F9F"/>
    <w:rsid w:val="1C89101E"/>
    <w:rsid w:val="1C898DF7"/>
    <w:rsid w:val="1CA36E77"/>
    <w:rsid w:val="1CF1E30E"/>
    <w:rsid w:val="1D1827C2"/>
    <w:rsid w:val="1D39BFE6"/>
    <w:rsid w:val="1DC01E10"/>
    <w:rsid w:val="1DCA9B1E"/>
    <w:rsid w:val="1DFF1DB5"/>
    <w:rsid w:val="1E1E89C2"/>
    <w:rsid w:val="1E6EA695"/>
    <w:rsid w:val="1EE30650"/>
    <w:rsid w:val="1EE6DBC4"/>
    <w:rsid w:val="1F29A7FC"/>
    <w:rsid w:val="1F5BB5CA"/>
    <w:rsid w:val="1F724484"/>
    <w:rsid w:val="1F8919E7"/>
    <w:rsid w:val="1F93AC5F"/>
    <w:rsid w:val="1FB0368D"/>
    <w:rsid w:val="1FC4D8F4"/>
    <w:rsid w:val="1FF2CF86"/>
    <w:rsid w:val="20035870"/>
    <w:rsid w:val="20105D3C"/>
    <w:rsid w:val="20406DCF"/>
    <w:rsid w:val="205CD682"/>
    <w:rsid w:val="210E7FFE"/>
    <w:rsid w:val="212A12DB"/>
    <w:rsid w:val="21E5B5F4"/>
    <w:rsid w:val="2230DFE3"/>
    <w:rsid w:val="2258D127"/>
    <w:rsid w:val="22FA0F59"/>
    <w:rsid w:val="232CC726"/>
    <w:rsid w:val="2392EF69"/>
    <w:rsid w:val="23D374F0"/>
    <w:rsid w:val="2487DDAD"/>
    <w:rsid w:val="24A29A9C"/>
    <w:rsid w:val="25768B4E"/>
    <w:rsid w:val="258593DD"/>
    <w:rsid w:val="25AA4EF7"/>
    <w:rsid w:val="25EE0BC4"/>
    <w:rsid w:val="260BF8C9"/>
    <w:rsid w:val="26774DCF"/>
    <w:rsid w:val="26DF99A5"/>
    <w:rsid w:val="26EDB4A0"/>
    <w:rsid w:val="272B71C4"/>
    <w:rsid w:val="27DE484E"/>
    <w:rsid w:val="282EE81A"/>
    <w:rsid w:val="2933753B"/>
    <w:rsid w:val="2956DB8E"/>
    <w:rsid w:val="296C6B61"/>
    <w:rsid w:val="29755D8C"/>
    <w:rsid w:val="2979B9EC"/>
    <w:rsid w:val="299649CD"/>
    <w:rsid w:val="29B216D2"/>
    <w:rsid w:val="29CDEF01"/>
    <w:rsid w:val="29D3FC54"/>
    <w:rsid w:val="29DB47AC"/>
    <w:rsid w:val="2A1A19D8"/>
    <w:rsid w:val="2A27D910"/>
    <w:rsid w:val="2A30A3CD"/>
    <w:rsid w:val="2AB16173"/>
    <w:rsid w:val="2AC1571C"/>
    <w:rsid w:val="2AD010E4"/>
    <w:rsid w:val="2B111786"/>
    <w:rsid w:val="2B7F09DA"/>
    <w:rsid w:val="2BCE81AF"/>
    <w:rsid w:val="2BF0F1B4"/>
    <w:rsid w:val="2BFE40F2"/>
    <w:rsid w:val="2C99D722"/>
    <w:rsid w:val="2CA2AEEE"/>
    <w:rsid w:val="2CD8B63A"/>
    <w:rsid w:val="2CF25A44"/>
    <w:rsid w:val="2D4AA844"/>
    <w:rsid w:val="2D5098F7"/>
    <w:rsid w:val="2D91BD9E"/>
    <w:rsid w:val="2DD8FE03"/>
    <w:rsid w:val="2DEBFC72"/>
    <w:rsid w:val="2DFD68CD"/>
    <w:rsid w:val="2E2E0A53"/>
    <w:rsid w:val="2E47A76B"/>
    <w:rsid w:val="2EB2F331"/>
    <w:rsid w:val="2EB4DBCD"/>
    <w:rsid w:val="2EDECC4D"/>
    <w:rsid w:val="2F4FB43F"/>
    <w:rsid w:val="2FB81E87"/>
    <w:rsid w:val="2FBFB8FD"/>
    <w:rsid w:val="2FD21828"/>
    <w:rsid w:val="2FEDB37A"/>
    <w:rsid w:val="300614F3"/>
    <w:rsid w:val="3035EF50"/>
    <w:rsid w:val="305DD352"/>
    <w:rsid w:val="307F1A51"/>
    <w:rsid w:val="30954A1B"/>
    <w:rsid w:val="30CF196C"/>
    <w:rsid w:val="30E14958"/>
    <w:rsid w:val="30F318E6"/>
    <w:rsid w:val="30FC0FC9"/>
    <w:rsid w:val="311A437A"/>
    <w:rsid w:val="31C61ACD"/>
    <w:rsid w:val="32768B6E"/>
    <w:rsid w:val="328B1B2C"/>
    <w:rsid w:val="3292314F"/>
    <w:rsid w:val="32A4840F"/>
    <w:rsid w:val="32CB52E5"/>
    <w:rsid w:val="32F073B1"/>
    <w:rsid w:val="32F6AD48"/>
    <w:rsid w:val="33092722"/>
    <w:rsid w:val="330D6F5B"/>
    <w:rsid w:val="331FB117"/>
    <w:rsid w:val="33370608"/>
    <w:rsid w:val="336BC50E"/>
    <w:rsid w:val="3394D904"/>
    <w:rsid w:val="33DBFED9"/>
    <w:rsid w:val="33DEE5B3"/>
    <w:rsid w:val="340C9279"/>
    <w:rsid w:val="3422C7DB"/>
    <w:rsid w:val="343ED291"/>
    <w:rsid w:val="3442D4FA"/>
    <w:rsid w:val="3493D14F"/>
    <w:rsid w:val="34D0F91D"/>
    <w:rsid w:val="3504C382"/>
    <w:rsid w:val="3508CD52"/>
    <w:rsid w:val="351BEBFA"/>
    <w:rsid w:val="3524ED9F"/>
    <w:rsid w:val="35630FB5"/>
    <w:rsid w:val="3579CD9B"/>
    <w:rsid w:val="35DDE3E8"/>
    <w:rsid w:val="364A85CE"/>
    <w:rsid w:val="367DC3DE"/>
    <w:rsid w:val="368FA741"/>
    <w:rsid w:val="36BB5F2E"/>
    <w:rsid w:val="373B6A62"/>
    <w:rsid w:val="3782C04B"/>
    <w:rsid w:val="379EB436"/>
    <w:rsid w:val="37B1F0EB"/>
    <w:rsid w:val="37F556D1"/>
    <w:rsid w:val="380693B5"/>
    <w:rsid w:val="3811D652"/>
    <w:rsid w:val="38869E99"/>
    <w:rsid w:val="38C0D1D9"/>
    <w:rsid w:val="39071817"/>
    <w:rsid w:val="390ADE57"/>
    <w:rsid w:val="392E297A"/>
    <w:rsid w:val="398504A0"/>
    <w:rsid w:val="3987B02A"/>
    <w:rsid w:val="3A4FEF73"/>
    <w:rsid w:val="3AD4E18E"/>
    <w:rsid w:val="3AF20AE5"/>
    <w:rsid w:val="3B2F676B"/>
    <w:rsid w:val="3BC9CA7C"/>
    <w:rsid w:val="3BCB3E95"/>
    <w:rsid w:val="3C14BE5A"/>
    <w:rsid w:val="3C6108D6"/>
    <w:rsid w:val="3C73FD98"/>
    <w:rsid w:val="3C75C016"/>
    <w:rsid w:val="3CBEA420"/>
    <w:rsid w:val="3CC552A3"/>
    <w:rsid w:val="3CE3313A"/>
    <w:rsid w:val="3D1ED824"/>
    <w:rsid w:val="3D5DDAD7"/>
    <w:rsid w:val="3DBA3BD3"/>
    <w:rsid w:val="3DC1F1BB"/>
    <w:rsid w:val="3DFE1F33"/>
    <w:rsid w:val="3E5C07DC"/>
    <w:rsid w:val="3E6355EE"/>
    <w:rsid w:val="3EB20CE5"/>
    <w:rsid w:val="3EFE537C"/>
    <w:rsid w:val="3F39FCF2"/>
    <w:rsid w:val="3F590B92"/>
    <w:rsid w:val="3F71D95E"/>
    <w:rsid w:val="3FBE6FD3"/>
    <w:rsid w:val="3FC1784D"/>
    <w:rsid w:val="3FF3C78F"/>
    <w:rsid w:val="4021B620"/>
    <w:rsid w:val="409FB152"/>
    <w:rsid w:val="40A87D4B"/>
    <w:rsid w:val="40DC5CBE"/>
    <w:rsid w:val="40E1FC5E"/>
    <w:rsid w:val="40E6467F"/>
    <w:rsid w:val="41C917FC"/>
    <w:rsid w:val="42190D60"/>
    <w:rsid w:val="4252B5DD"/>
    <w:rsid w:val="427B0A70"/>
    <w:rsid w:val="4287A1F4"/>
    <w:rsid w:val="429B521B"/>
    <w:rsid w:val="430C6ED4"/>
    <w:rsid w:val="4351DDBF"/>
    <w:rsid w:val="436DCA57"/>
    <w:rsid w:val="43747E7A"/>
    <w:rsid w:val="438E2203"/>
    <w:rsid w:val="43D7B3A3"/>
    <w:rsid w:val="4454CB0A"/>
    <w:rsid w:val="4473E67B"/>
    <w:rsid w:val="44A48FE4"/>
    <w:rsid w:val="44BC47FA"/>
    <w:rsid w:val="44DF6853"/>
    <w:rsid w:val="451188AE"/>
    <w:rsid w:val="458F3FC8"/>
    <w:rsid w:val="459396D2"/>
    <w:rsid w:val="468A1853"/>
    <w:rsid w:val="4691EE6D"/>
    <w:rsid w:val="46CB1B68"/>
    <w:rsid w:val="46DB7352"/>
    <w:rsid w:val="473A23E5"/>
    <w:rsid w:val="47765082"/>
    <w:rsid w:val="47A3C434"/>
    <w:rsid w:val="47A6F8D3"/>
    <w:rsid w:val="47C2C7A9"/>
    <w:rsid w:val="4813C871"/>
    <w:rsid w:val="48876BBB"/>
    <w:rsid w:val="49B18B03"/>
    <w:rsid w:val="49E16D69"/>
    <w:rsid w:val="4A90E0A9"/>
    <w:rsid w:val="4A91C3FC"/>
    <w:rsid w:val="4AA23757"/>
    <w:rsid w:val="4B2D994A"/>
    <w:rsid w:val="4B40C2EC"/>
    <w:rsid w:val="4B476C2E"/>
    <w:rsid w:val="4B51344B"/>
    <w:rsid w:val="4BB68B91"/>
    <w:rsid w:val="4BBB564C"/>
    <w:rsid w:val="4BCDFB59"/>
    <w:rsid w:val="4BE01BC5"/>
    <w:rsid w:val="4BF790F2"/>
    <w:rsid w:val="4C0F62F7"/>
    <w:rsid w:val="4C10F4D3"/>
    <w:rsid w:val="4C24261A"/>
    <w:rsid w:val="4C6341A5"/>
    <w:rsid w:val="4CC4D94E"/>
    <w:rsid w:val="4CCAFD67"/>
    <w:rsid w:val="4CFFB666"/>
    <w:rsid w:val="4DC189F7"/>
    <w:rsid w:val="4DC2057C"/>
    <w:rsid w:val="4DF3DB9B"/>
    <w:rsid w:val="4E3E09DE"/>
    <w:rsid w:val="4E52EF53"/>
    <w:rsid w:val="4E6D4EE3"/>
    <w:rsid w:val="4ED63714"/>
    <w:rsid w:val="4F752DC2"/>
    <w:rsid w:val="4F76F451"/>
    <w:rsid w:val="4F79C403"/>
    <w:rsid w:val="4FDA7E54"/>
    <w:rsid w:val="4FF5F956"/>
    <w:rsid w:val="501E2F0B"/>
    <w:rsid w:val="503440DE"/>
    <w:rsid w:val="504FC12C"/>
    <w:rsid w:val="5050332A"/>
    <w:rsid w:val="505E7698"/>
    <w:rsid w:val="50C59FCD"/>
    <w:rsid w:val="50CD073B"/>
    <w:rsid w:val="5117B378"/>
    <w:rsid w:val="512A92A2"/>
    <w:rsid w:val="518E6565"/>
    <w:rsid w:val="51998A11"/>
    <w:rsid w:val="51EF232F"/>
    <w:rsid w:val="5211C9E6"/>
    <w:rsid w:val="524EAC4E"/>
    <w:rsid w:val="52519132"/>
    <w:rsid w:val="52AAC403"/>
    <w:rsid w:val="5302FD2D"/>
    <w:rsid w:val="536C57F8"/>
    <w:rsid w:val="53979490"/>
    <w:rsid w:val="53B91CD6"/>
    <w:rsid w:val="547C7ACD"/>
    <w:rsid w:val="55A26479"/>
    <w:rsid w:val="55BA5DC8"/>
    <w:rsid w:val="56820D4D"/>
    <w:rsid w:val="56D7BAF8"/>
    <w:rsid w:val="56F87574"/>
    <w:rsid w:val="581ABE92"/>
    <w:rsid w:val="58D0ACC1"/>
    <w:rsid w:val="58E2D08A"/>
    <w:rsid w:val="58E83943"/>
    <w:rsid w:val="5975932C"/>
    <w:rsid w:val="5981EA12"/>
    <w:rsid w:val="5984BC44"/>
    <w:rsid w:val="59AF076E"/>
    <w:rsid w:val="5A8E728C"/>
    <w:rsid w:val="5AD83C2C"/>
    <w:rsid w:val="5AE3F64F"/>
    <w:rsid w:val="5B37168D"/>
    <w:rsid w:val="5B9DA2CD"/>
    <w:rsid w:val="5BAF2DB0"/>
    <w:rsid w:val="5BEDAD82"/>
    <w:rsid w:val="5C32E4CB"/>
    <w:rsid w:val="5C34554E"/>
    <w:rsid w:val="5C34D715"/>
    <w:rsid w:val="5C3CD30F"/>
    <w:rsid w:val="5C40C118"/>
    <w:rsid w:val="5CD16941"/>
    <w:rsid w:val="5CFC244A"/>
    <w:rsid w:val="5D703BDC"/>
    <w:rsid w:val="5DEDB902"/>
    <w:rsid w:val="5E5A4AB1"/>
    <w:rsid w:val="5E8FBE87"/>
    <w:rsid w:val="5EB558DE"/>
    <w:rsid w:val="5F20417B"/>
    <w:rsid w:val="5F946894"/>
    <w:rsid w:val="5FB95D72"/>
    <w:rsid w:val="5FC42B8D"/>
    <w:rsid w:val="5FC46489"/>
    <w:rsid w:val="601AD604"/>
    <w:rsid w:val="601F8C02"/>
    <w:rsid w:val="60414263"/>
    <w:rsid w:val="6091A2A0"/>
    <w:rsid w:val="622C22EB"/>
    <w:rsid w:val="6243F1CA"/>
    <w:rsid w:val="634B0A9C"/>
    <w:rsid w:val="63FF6DBF"/>
    <w:rsid w:val="640731D0"/>
    <w:rsid w:val="64CBD696"/>
    <w:rsid w:val="64D11E70"/>
    <w:rsid w:val="65252C5B"/>
    <w:rsid w:val="65A87F53"/>
    <w:rsid w:val="67249594"/>
    <w:rsid w:val="673291F2"/>
    <w:rsid w:val="675B6D72"/>
    <w:rsid w:val="67883027"/>
    <w:rsid w:val="68B65843"/>
    <w:rsid w:val="68CFD67D"/>
    <w:rsid w:val="698D396A"/>
    <w:rsid w:val="69D7DCFE"/>
    <w:rsid w:val="6A5ED673"/>
    <w:rsid w:val="6A9F6376"/>
    <w:rsid w:val="6ADAE0A4"/>
    <w:rsid w:val="6B07DF64"/>
    <w:rsid w:val="6B67EC55"/>
    <w:rsid w:val="6B6AADD0"/>
    <w:rsid w:val="6B7FC51F"/>
    <w:rsid w:val="6B8155E0"/>
    <w:rsid w:val="6B8EF74F"/>
    <w:rsid w:val="6BDDAEC0"/>
    <w:rsid w:val="6C044BAA"/>
    <w:rsid w:val="6C072A89"/>
    <w:rsid w:val="6D2768B6"/>
    <w:rsid w:val="6D426876"/>
    <w:rsid w:val="6D6C4198"/>
    <w:rsid w:val="6D802BF3"/>
    <w:rsid w:val="6DB4EBBA"/>
    <w:rsid w:val="6DC63406"/>
    <w:rsid w:val="6DF8C052"/>
    <w:rsid w:val="6E6F77FE"/>
    <w:rsid w:val="6E86F96D"/>
    <w:rsid w:val="6E92DBD6"/>
    <w:rsid w:val="6EB74BB9"/>
    <w:rsid w:val="6EE22491"/>
    <w:rsid w:val="6EF09E29"/>
    <w:rsid w:val="6F5A4DFC"/>
    <w:rsid w:val="6FA49098"/>
    <w:rsid w:val="6FC480C7"/>
    <w:rsid w:val="6FD84AB5"/>
    <w:rsid w:val="70200E42"/>
    <w:rsid w:val="706F6EAF"/>
    <w:rsid w:val="70940430"/>
    <w:rsid w:val="70A4AB98"/>
    <w:rsid w:val="70B906B7"/>
    <w:rsid w:val="70DC9972"/>
    <w:rsid w:val="70EBA7DC"/>
    <w:rsid w:val="70EDCF47"/>
    <w:rsid w:val="713755CF"/>
    <w:rsid w:val="7173BF76"/>
    <w:rsid w:val="717B56FA"/>
    <w:rsid w:val="71967789"/>
    <w:rsid w:val="71AB66B4"/>
    <w:rsid w:val="7260BB3D"/>
    <w:rsid w:val="72E828BA"/>
    <w:rsid w:val="72EE6055"/>
    <w:rsid w:val="72FBB9A6"/>
    <w:rsid w:val="73769A9D"/>
    <w:rsid w:val="738CA179"/>
    <w:rsid w:val="73DA3156"/>
    <w:rsid w:val="73DA70A7"/>
    <w:rsid w:val="741D6AFB"/>
    <w:rsid w:val="744B1A97"/>
    <w:rsid w:val="74BD0F9C"/>
    <w:rsid w:val="74D9D8B2"/>
    <w:rsid w:val="7519E51D"/>
    <w:rsid w:val="7523DE33"/>
    <w:rsid w:val="759C70A1"/>
    <w:rsid w:val="75B503FD"/>
    <w:rsid w:val="762EA5D9"/>
    <w:rsid w:val="7645A5C7"/>
    <w:rsid w:val="76934B30"/>
    <w:rsid w:val="769EB450"/>
    <w:rsid w:val="76B775A7"/>
    <w:rsid w:val="774B5503"/>
    <w:rsid w:val="779A9218"/>
    <w:rsid w:val="77CC86A8"/>
    <w:rsid w:val="780A8182"/>
    <w:rsid w:val="78136326"/>
    <w:rsid w:val="78298010"/>
    <w:rsid w:val="78359AC6"/>
    <w:rsid w:val="78D5DBEF"/>
    <w:rsid w:val="78FD03DD"/>
    <w:rsid w:val="79D5FF19"/>
    <w:rsid w:val="79E13619"/>
    <w:rsid w:val="7A55B654"/>
    <w:rsid w:val="7AD3D3EF"/>
    <w:rsid w:val="7AF8449A"/>
    <w:rsid w:val="7B97DF42"/>
    <w:rsid w:val="7C2272B6"/>
    <w:rsid w:val="7C3AF008"/>
    <w:rsid w:val="7C65BF5A"/>
    <w:rsid w:val="7CB549C2"/>
    <w:rsid w:val="7CF38EEA"/>
    <w:rsid w:val="7D151561"/>
    <w:rsid w:val="7D2FD13F"/>
    <w:rsid w:val="7D5AC266"/>
    <w:rsid w:val="7DD7632E"/>
    <w:rsid w:val="7E4DA8B8"/>
    <w:rsid w:val="7E6A4C28"/>
    <w:rsid w:val="7EAA5B06"/>
    <w:rsid w:val="7F196A26"/>
    <w:rsid w:val="7F26435E"/>
    <w:rsid w:val="7F2F4AE5"/>
    <w:rsid w:val="7F658611"/>
    <w:rsid w:val="7F9242B0"/>
    <w:rsid w:val="7FAED63E"/>
    <w:rsid w:val="7FC3A2D9"/>
    <w:rsid w:val="7FDB848A"/>
    <w:rsid w:val="7FF7DF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9B6CA"/>
  <w15:docId w15:val="{9A07ABCC-07EF-456F-9E74-39AEBCBA0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D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531FDC"/>
    <w:pPr>
      <w:ind w:left="720"/>
    </w:pPr>
  </w:style>
  <w:style w:type="paragraph" w:styleId="Header">
    <w:name w:val="header"/>
    <w:basedOn w:val="Normal"/>
    <w:link w:val="HeaderChar"/>
    <w:uiPriority w:val="99"/>
    <w:unhideWhenUsed/>
    <w:rsid w:val="00531FDC"/>
    <w:pPr>
      <w:tabs>
        <w:tab w:val="center" w:pos="4680"/>
        <w:tab w:val="right" w:pos="9360"/>
      </w:tabs>
    </w:pPr>
  </w:style>
  <w:style w:type="character" w:customStyle="1" w:styleId="HeaderChar">
    <w:name w:val="Header Char"/>
    <w:basedOn w:val="DefaultParagraphFont"/>
    <w:link w:val="Header"/>
    <w:uiPriority w:val="99"/>
    <w:rsid w:val="00531FDC"/>
    <w:rPr>
      <w:rFonts w:ascii="Calibri" w:hAnsi="Calibri" w:cs="Calibri"/>
    </w:rPr>
  </w:style>
  <w:style w:type="paragraph" w:styleId="Footer">
    <w:name w:val="footer"/>
    <w:basedOn w:val="Normal"/>
    <w:link w:val="FooterChar"/>
    <w:uiPriority w:val="99"/>
    <w:unhideWhenUsed/>
    <w:rsid w:val="00531FDC"/>
    <w:pPr>
      <w:tabs>
        <w:tab w:val="center" w:pos="4680"/>
        <w:tab w:val="right" w:pos="9360"/>
      </w:tabs>
    </w:pPr>
  </w:style>
  <w:style w:type="character" w:customStyle="1" w:styleId="FooterChar">
    <w:name w:val="Footer Char"/>
    <w:basedOn w:val="DefaultParagraphFont"/>
    <w:link w:val="Footer"/>
    <w:uiPriority w:val="99"/>
    <w:rsid w:val="00531FDC"/>
    <w:rPr>
      <w:rFonts w:ascii="Calibri" w:hAnsi="Calibri" w:cs="Calibri"/>
    </w:rPr>
  </w:style>
  <w:style w:type="table" w:styleId="TableGrid">
    <w:name w:val="Table Grid"/>
    <w:basedOn w:val="TableNormal"/>
    <w:uiPriority w:val="39"/>
    <w:rsid w:val="00F41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AC2087"/>
    <w:rPr>
      <w:color w:val="0563C1"/>
      <w:u w:val="single"/>
    </w:rPr>
  </w:style>
  <w:style w:type="paragraph" w:customStyle="1" w:styleId="m-2165754623470208411msolistparagraph">
    <w:name w:val="m_-2165754623470208411msolistparagraph"/>
    <w:basedOn w:val="Normal"/>
    <w:rsid w:val="00F7583E"/>
    <w:pPr>
      <w:spacing w:before="100" w:beforeAutospacing="1" w:after="100" w:afterAutospacing="1"/>
    </w:pPr>
    <w:rPr>
      <w:rFonts w:eastAsia="Times New Roman"/>
    </w:rPr>
  </w:style>
  <w:style w:type="paragraph" w:styleId="Revision">
    <w:name w:val="Revision"/>
    <w:hidden/>
    <w:uiPriority w:val="99"/>
    <w:semiHidden/>
    <w:rsid w:val="00E531F8"/>
  </w:style>
  <w:style w:type="character" w:styleId="CommentReference">
    <w:name w:val="annotation reference"/>
    <w:basedOn w:val="DefaultParagraphFont"/>
    <w:uiPriority w:val="99"/>
    <w:semiHidden/>
    <w:unhideWhenUsed/>
    <w:rsid w:val="00E531F8"/>
    <w:rPr>
      <w:sz w:val="16"/>
      <w:szCs w:val="16"/>
    </w:rPr>
  </w:style>
  <w:style w:type="paragraph" w:styleId="CommentText">
    <w:name w:val="annotation text"/>
    <w:basedOn w:val="Normal"/>
    <w:link w:val="CommentTextChar"/>
    <w:uiPriority w:val="99"/>
    <w:unhideWhenUsed/>
    <w:rsid w:val="00E531F8"/>
    <w:rPr>
      <w:sz w:val="20"/>
      <w:szCs w:val="20"/>
    </w:rPr>
  </w:style>
  <w:style w:type="character" w:customStyle="1" w:styleId="CommentTextChar">
    <w:name w:val="Comment Text Char"/>
    <w:basedOn w:val="DefaultParagraphFont"/>
    <w:link w:val="CommentText"/>
    <w:uiPriority w:val="99"/>
    <w:rsid w:val="00E531F8"/>
    <w:rPr>
      <w:sz w:val="20"/>
      <w:szCs w:val="20"/>
    </w:rPr>
  </w:style>
  <w:style w:type="paragraph" w:styleId="CommentSubject">
    <w:name w:val="annotation subject"/>
    <w:basedOn w:val="CommentText"/>
    <w:next w:val="CommentText"/>
    <w:link w:val="CommentSubjectChar"/>
    <w:uiPriority w:val="99"/>
    <w:semiHidden/>
    <w:unhideWhenUsed/>
    <w:rsid w:val="00E531F8"/>
    <w:rPr>
      <w:b/>
      <w:bCs/>
    </w:rPr>
  </w:style>
  <w:style w:type="character" w:customStyle="1" w:styleId="CommentSubjectChar">
    <w:name w:val="Comment Subject Char"/>
    <w:basedOn w:val="CommentTextChar"/>
    <w:link w:val="CommentSubject"/>
    <w:uiPriority w:val="99"/>
    <w:semiHidden/>
    <w:rsid w:val="00E531F8"/>
    <w:rPr>
      <w:b/>
      <w:bCs/>
      <w:sz w:val="20"/>
      <w:szCs w:val="20"/>
    </w:rPr>
  </w:style>
  <w:style w:type="character" w:styleId="UnresolvedMention">
    <w:name w:val="Unresolved Mention"/>
    <w:basedOn w:val="DefaultParagraphFont"/>
    <w:uiPriority w:val="99"/>
    <w:semiHidden/>
    <w:unhideWhenUsed/>
    <w:rsid w:val="005E297E"/>
    <w:rPr>
      <w:color w:val="605E5C"/>
      <w:shd w:val="clear" w:color="auto" w:fill="E1DFDD"/>
    </w:rPr>
  </w:style>
  <w:style w:type="character" w:styleId="FollowedHyperlink">
    <w:name w:val="FollowedHyperlink"/>
    <w:basedOn w:val="DefaultParagraphFont"/>
    <w:uiPriority w:val="99"/>
    <w:semiHidden/>
    <w:unhideWhenUsed/>
    <w:rsid w:val="00EC71A1"/>
    <w:rPr>
      <w:color w:val="954F72" w:themeColor="followedHyperlink"/>
      <w:u w:val="single"/>
    </w:rPr>
  </w:style>
  <w:style w:type="character" w:styleId="Mention">
    <w:name w:val="Mention"/>
    <w:basedOn w:val="DefaultParagraphFont"/>
    <w:uiPriority w:val="99"/>
    <w:unhideWhenUsed/>
    <w:rsid w:val="00CC75E4"/>
    <w:rPr>
      <w:color w:val="2B579A"/>
      <w:shd w:val="clear" w:color="auto" w:fill="E1DFDD"/>
    </w:rPr>
  </w:style>
  <w:style w:type="paragraph" w:styleId="NormalWeb">
    <w:name w:val="Normal (Web)"/>
    <w:basedOn w:val="Normal"/>
    <w:uiPriority w:val="99"/>
    <w:semiHidden/>
    <w:unhideWhenUsed/>
    <w:rsid w:val="00AC074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61312">
      <w:bodyDiv w:val="1"/>
      <w:marLeft w:val="0"/>
      <w:marRight w:val="0"/>
      <w:marTop w:val="0"/>
      <w:marBottom w:val="0"/>
      <w:divBdr>
        <w:top w:val="none" w:sz="0" w:space="0" w:color="auto"/>
        <w:left w:val="none" w:sz="0" w:space="0" w:color="auto"/>
        <w:bottom w:val="none" w:sz="0" w:space="0" w:color="auto"/>
        <w:right w:val="none" w:sz="0" w:space="0" w:color="auto"/>
      </w:divBdr>
    </w:div>
    <w:div w:id="186212127">
      <w:bodyDiv w:val="1"/>
      <w:marLeft w:val="0"/>
      <w:marRight w:val="0"/>
      <w:marTop w:val="0"/>
      <w:marBottom w:val="0"/>
      <w:divBdr>
        <w:top w:val="none" w:sz="0" w:space="0" w:color="auto"/>
        <w:left w:val="none" w:sz="0" w:space="0" w:color="auto"/>
        <w:bottom w:val="none" w:sz="0" w:space="0" w:color="auto"/>
        <w:right w:val="none" w:sz="0" w:space="0" w:color="auto"/>
      </w:divBdr>
    </w:div>
    <w:div w:id="198667130">
      <w:bodyDiv w:val="1"/>
      <w:marLeft w:val="0"/>
      <w:marRight w:val="0"/>
      <w:marTop w:val="0"/>
      <w:marBottom w:val="0"/>
      <w:divBdr>
        <w:top w:val="none" w:sz="0" w:space="0" w:color="auto"/>
        <w:left w:val="none" w:sz="0" w:space="0" w:color="auto"/>
        <w:bottom w:val="none" w:sz="0" w:space="0" w:color="auto"/>
        <w:right w:val="none" w:sz="0" w:space="0" w:color="auto"/>
      </w:divBdr>
    </w:div>
    <w:div w:id="208610767">
      <w:bodyDiv w:val="1"/>
      <w:marLeft w:val="0"/>
      <w:marRight w:val="0"/>
      <w:marTop w:val="0"/>
      <w:marBottom w:val="0"/>
      <w:divBdr>
        <w:top w:val="none" w:sz="0" w:space="0" w:color="auto"/>
        <w:left w:val="none" w:sz="0" w:space="0" w:color="auto"/>
        <w:bottom w:val="none" w:sz="0" w:space="0" w:color="auto"/>
        <w:right w:val="none" w:sz="0" w:space="0" w:color="auto"/>
      </w:divBdr>
    </w:div>
    <w:div w:id="238096103">
      <w:bodyDiv w:val="1"/>
      <w:marLeft w:val="0"/>
      <w:marRight w:val="0"/>
      <w:marTop w:val="0"/>
      <w:marBottom w:val="0"/>
      <w:divBdr>
        <w:top w:val="none" w:sz="0" w:space="0" w:color="auto"/>
        <w:left w:val="none" w:sz="0" w:space="0" w:color="auto"/>
        <w:bottom w:val="none" w:sz="0" w:space="0" w:color="auto"/>
        <w:right w:val="none" w:sz="0" w:space="0" w:color="auto"/>
      </w:divBdr>
    </w:div>
    <w:div w:id="316735807">
      <w:bodyDiv w:val="1"/>
      <w:marLeft w:val="0"/>
      <w:marRight w:val="0"/>
      <w:marTop w:val="0"/>
      <w:marBottom w:val="0"/>
      <w:divBdr>
        <w:top w:val="none" w:sz="0" w:space="0" w:color="auto"/>
        <w:left w:val="none" w:sz="0" w:space="0" w:color="auto"/>
        <w:bottom w:val="none" w:sz="0" w:space="0" w:color="auto"/>
        <w:right w:val="none" w:sz="0" w:space="0" w:color="auto"/>
      </w:divBdr>
    </w:div>
    <w:div w:id="400254544">
      <w:bodyDiv w:val="1"/>
      <w:marLeft w:val="0"/>
      <w:marRight w:val="0"/>
      <w:marTop w:val="0"/>
      <w:marBottom w:val="0"/>
      <w:divBdr>
        <w:top w:val="none" w:sz="0" w:space="0" w:color="auto"/>
        <w:left w:val="none" w:sz="0" w:space="0" w:color="auto"/>
        <w:bottom w:val="none" w:sz="0" w:space="0" w:color="auto"/>
        <w:right w:val="none" w:sz="0" w:space="0" w:color="auto"/>
      </w:divBdr>
    </w:div>
    <w:div w:id="420639445">
      <w:bodyDiv w:val="1"/>
      <w:marLeft w:val="0"/>
      <w:marRight w:val="0"/>
      <w:marTop w:val="0"/>
      <w:marBottom w:val="0"/>
      <w:divBdr>
        <w:top w:val="none" w:sz="0" w:space="0" w:color="auto"/>
        <w:left w:val="none" w:sz="0" w:space="0" w:color="auto"/>
        <w:bottom w:val="none" w:sz="0" w:space="0" w:color="auto"/>
        <w:right w:val="none" w:sz="0" w:space="0" w:color="auto"/>
      </w:divBdr>
    </w:div>
    <w:div w:id="506022880">
      <w:bodyDiv w:val="1"/>
      <w:marLeft w:val="0"/>
      <w:marRight w:val="0"/>
      <w:marTop w:val="0"/>
      <w:marBottom w:val="0"/>
      <w:divBdr>
        <w:top w:val="none" w:sz="0" w:space="0" w:color="auto"/>
        <w:left w:val="none" w:sz="0" w:space="0" w:color="auto"/>
        <w:bottom w:val="none" w:sz="0" w:space="0" w:color="auto"/>
        <w:right w:val="none" w:sz="0" w:space="0" w:color="auto"/>
      </w:divBdr>
    </w:div>
    <w:div w:id="535780256">
      <w:bodyDiv w:val="1"/>
      <w:marLeft w:val="0"/>
      <w:marRight w:val="0"/>
      <w:marTop w:val="0"/>
      <w:marBottom w:val="0"/>
      <w:divBdr>
        <w:top w:val="none" w:sz="0" w:space="0" w:color="auto"/>
        <w:left w:val="none" w:sz="0" w:space="0" w:color="auto"/>
        <w:bottom w:val="none" w:sz="0" w:space="0" w:color="auto"/>
        <w:right w:val="none" w:sz="0" w:space="0" w:color="auto"/>
      </w:divBdr>
    </w:div>
    <w:div w:id="570433423">
      <w:bodyDiv w:val="1"/>
      <w:marLeft w:val="0"/>
      <w:marRight w:val="0"/>
      <w:marTop w:val="0"/>
      <w:marBottom w:val="0"/>
      <w:divBdr>
        <w:top w:val="none" w:sz="0" w:space="0" w:color="auto"/>
        <w:left w:val="none" w:sz="0" w:space="0" w:color="auto"/>
        <w:bottom w:val="none" w:sz="0" w:space="0" w:color="auto"/>
        <w:right w:val="none" w:sz="0" w:space="0" w:color="auto"/>
      </w:divBdr>
    </w:div>
    <w:div w:id="689377129">
      <w:bodyDiv w:val="1"/>
      <w:marLeft w:val="0"/>
      <w:marRight w:val="0"/>
      <w:marTop w:val="0"/>
      <w:marBottom w:val="0"/>
      <w:divBdr>
        <w:top w:val="none" w:sz="0" w:space="0" w:color="auto"/>
        <w:left w:val="none" w:sz="0" w:space="0" w:color="auto"/>
        <w:bottom w:val="none" w:sz="0" w:space="0" w:color="auto"/>
        <w:right w:val="none" w:sz="0" w:space="0" w:color="auto"/>
      </w:divBdr>
    </w:div>
    <w:div w:id="701638151">
      <w:bodyDiv w:val="1"/>
      <w:marLeft w:val="0"/>
      <w:marRight w:val="0"/>
      <w:marTop w:val="0"/>
      <w:marBottom w:val="0"/>
      <w:divBdr>
        <w:top w:val="none" w:sz="0" w:space="0" w:color="auto"/>
        <w:left w:val="none" w:sz="0" w:space="0" w:color="auto"/>
        <w:bottom w:val="none" w:sz="0" w:space="0" w:color="auto"/>
        <w:right w:val="none" w:sz="0" w:space="0" w:color="auto"/>
      </w:divBdr>
    </w:div>
    <w:div w:id="832841121">
      <w:bodyDiv w:val="1"/>
      <w:marLeft w:val="0"/>
      <w:marRight w:val="0"/>
      <w:marTop w:val="0"/>
      <w:marBottom w:val="0"/>
      <w:divBdr>
        <w:top w:val="none" w:sz="0" w:space="0" w:color="auto"/>
        <w:left w:val="none" w:sz="0" w:space="0" w:color="auto"/>
        <w:bottom w:val="none" w:sz="0" w:space="0" w:color="auto"/>
        <w:right w:val="none" w:sz="0" w:space="0" w:color="auto"/>
      </w:divBdr>
    </w:div>
    <w:div w:id="881287508">
      <w:bodyDiv w:val="1"/>
      <w:marLeft w:val="0"/>
      <w:marRight w:val="0"/>
      <w:marTop w:val="0"/>
      <w:marBottom w:val="0"/>
      <w:divBdr>
        <w:top w:val="none" w:sz="0" w:space="0" w:color="auto"/>
        <w:left w:val="none" w:sz="0" w:space="0" w:color="auto"/>
        <w:bottom w:val="none" w:sz="0" w:space="0" w:color="auto"/>
        <w:right w:val="none" w:sz="0" w:space="0" w:color="auto"/>
      </w:divBdr>
    </w:div>
    <w:div w:id="970357229">
      <w:bodyDiv w:val="1"/>
      <w:marLeft w:val="0"/>
      <w:marRight w:val="0"/>
      <w:marTop w:val="0"/>
      <w:marBottom w:val="0"/>
      <w:divBdr>
        <w:top w:val="none" w:sz="0" w:space="0" w:color="auto"/>
        <w:left w:val="none" w:sz="0" w:space="0" w:color="auto"/>
        <w:bottom w:val="none" w:sz="0" w:space="0" w:color="auto"/>
        <w:right w:val="none" w:sz="0" w:space="0" w:color="auto"/>
      </w:divBdr>
    </w:div>
    <w:div w:id="1005594101">
      <w:bodyDiv w:val="1"/>
      <w:marLeft w:val="0"/>
      <w:marRight w:val="0"/>
      <w:marTop w:val="0"/>
      <w:marBottom w:val="0"/>
      <w:divBdr>
        <w:top w:val="none" w:sz="0" w:space="0" w:color="auto"/>
        <w:left w:val="none" w:sz="0" w:space="0" w:color="auto"/>
        <w:bottom w:val="none" w:sz="0" w:space="0" w:color="auto"/>
        <w:right w:val="none" w:sz="0" w:space="0" w:color="auto"/>
      </w:divBdr>
    </w:div>
    <w:div w:id="1050300048">
      <w:bodyDiv w:val="1"/>
      <w:marLeft w:val="0"/>
      <w:marRight w:val="0"/>
      <w:marTop w:val="0"/>
      <w:marBottom w:val="0"/>
      <w:divBdr>
        <w:top w:val="none" w:sz="0" w:space="0" w:color="auto"/>
        <w:left w:val="none" w:sz="0" w:space="0" w:color="auto"/>
        <w:bottom w:val="none" w:sz="0" w:space="0" w:color="auto"/>
        <w:right w:val="none" w:sz="0" w:space="0" w:color="auto"/>
      </w:divBdr>
    </w:div>
    <w:div w:id="1066495249">
      <w:bodyDiv w:val="1"/>
      <w:marLeft w:val="0"/>
      <w:marRight w:val="0"/>
      <w:marTop w:val="0"/>
      <w:marBottom w:val="0"/>
      <w:divBdr>
        <w:top w:val="none" w:sz="0" w:space="0" w:color="auto"/>
        <w:left w:val="none" w:sz="0" w:space="0" w:color="auto"/>
        <w:bottom w:val="none" w:sz="0" w:space="0" w:color="auto"/>
        <w:right w:val="none" w:sz="0" w:space="0" w:color="auto"/>
      </w:divBdr>
    </w:div>
    <w:div w:id="1083986023">
      <w:bodyDiv w:val="1"/>
      <w:marLeft w:val="0"/>
      <w:marRight w:val="0"/>
      <w:marTop w:val="0"/>
      <w:marBottom w:val="0"/>
      <w:divBdr>
        <w:top w:val="none" w:sz="0" w:space="0" w:color="auto"/>
        <w:left w:val="none" w:sz="0" w:space="0" w:color="auto"/>
        <w:bottom w:val="none" w:sz="0" w:space="0" w:color="auto"/>
        <w:right w:val="none" w:sz="0" w:space="0" w:color="auto"/>
      </w:divBdr>
    </w:div>
    <w:div w:id="1095633074">
      <w:bodyDiv w:val="1"/>
      <w:marLeft w:val="0"/>
      <w:marRight w:val="0"/>
      <w:marTop w:val="0"/>
      <w:marBottom w:val="0"/>
      <w:divBdr>
        <w:top w:val="none" w:sz="0" w:space="0" w:color="auto"/>
        <w:left w:val="none" w:sz="0" w:space="0" w:color="auto"/>
        <w:bottom w:val="none" w:sz="0" w:space="0" w:color="auto"/>
        <w:right w:val="none" w:sz="0" w:space="0" w:color="auto"/>
      </w:divBdr>
    </w:div>
    <w:div w:id="1107432102">
      <w:bodyDiv w:val="1"/>
      <w:marLeft w:val="0"/>
      <w:marRight w:val="0"/>
      <w:marTop w:val="0"/>
      <w:marBottom w:val="0"/>
      <w:divBdr>
        <w:top w:val="none" w:sz="0" w:space="0" w:color="auto"/>
        <w:left w:val="none" w:sz="0" w:space="0" w:color="auto"/>
        <w:bottom w:val="none" w:sz="0" w:space="0" w:color="auto"/>
        <w:right w:val="none" w:sz="0" w:space="0" w:color="auto"/>
      </w:divBdr>
    </w:div>
    <w:div w:id="1136140041">
      <w:bodyDiv w:val="1"/>
      <w:marLeft w:val="0"/>
      <w:marRight w:val="0"/>
      <w:marTop w:val="0"/>
      <w:marBottom w:val="0"/>
      <w:divBdr>
        <w:top w:val="none" w:sz="0" w:space="0" w:color="auto"/>
        <w:left w:val="none" w:sz="0" w:space="0" w:color="auto"/>
        <w:bottom w:val="none" w:sz="0" w:space="0" w:color="auto"/>
        <w:right w:val="none" w:sz="0" w:space="0" w:color="auto"/>
      </w:divBdr>
    </w:div>
    <w:div w:id="1143080920">
      <w:bodyDiv w:val="1"/>
      <w:marLeft w:val="0"/>
      <w:marRight w:val="0"/>
      <w:marTop w:val="0"/>
      <w:marBottom w:val="0"/>
      <w:divBdr>
        <w:top w:val="none" w:sz="0" w:space="0" w:color="auto"/>
        <w:left w:val="none" w:sz="0" w:space="0" w:color="auto"/>
        <w:bottom w:val="none" w:sz="0" w:space="0" w:color="auto"/>
        <w:right w:val="none" w:sz="0" w:space="0" w:color="auto"/>
      </w:divBdr>
    </w:div>
    <w:div w:id="1145926375">
      <w:bodyDiv w:val="1"/>
      <w:marLeft w:val="0"/>
      <w:marRight w:val="0"/>
      <w:marTop w:val="0"/>
      <w:marBottom w:val="0"/>
      <w:divBdr>
        <w:top w:val="none" w:sz="0" w:space="0" w:color="auto"/>
        <w:left w:val="none" w:sz="0" w:space="0" w:color="auto"/>
        <w:bottom w:val="none" w:sz="0" w:space="0" w:color="auto"/>
        <w:right w:val="none" w:sz="0" w:space="0" w:color="auto"/>
      </w:divBdr>
    </w:div>
    <w:div w:id="1191262731">
      <w:bodyDiv w:val="1"/>
      <w:marLeft w:val="0"/>
      <w:marRight w:val="0"/>
      <w:marTop w:val="0"/>
      <w:marBottom w:val="0"/>
      <w:divBdr>
        <w:top w:val="none" w:sz="0" w:space="0" w:color="auto"/>
        <w:left w:val="none" w:sz="0" w:space="0" w:color="auto"/>
        <w:bottom w:val="none" w:sz="0" w:space="0" w:color="auto"/>
        <w:right w:val="none" w:sz="0" w:space="0" w:color="auto"/>
      </w:divBdr>
    </w:div>
    <w:div w:id="1207641618">
      <w:bodyDiv w:val="1"/>
      <w:marLeft w:val="0"/>
      <w:marRight w:val="0"/>
      <w:marTop w:val="0"/>
      <w:marBottom w:val="0"/>
      <w:divBdr>
        <w:top w:val="none" w:sz="0" w:space="0" w:color="auto"/>
        <w:left w:val="none" w:sz="0" w:space="0" w:color="auto"/>
        <w:bottom w:val="none" w:sz="0" w:space="0" w:color="auto"/>
        <w:right w:val="none" w:sz="0" w:space="0" w:color="auto"/>
      </w:divBdr>
    </w:div>
    <w:div w:id="1276668255">
      <w:bodyDiv w:val="1"/>
      <w:marLeft w:val="0"/>
      <w:marRight w:val="0"/>
      <w:marTop w:val="0"/>
      <w:marBottom w:val="0"/>
      <w:divBdr>
        <w:top w:val="none" w:sz="0" w:space="0" w:color="auto"/>
        <w:left w:val="none" w:sz="0" w:space="0" w:color="auto"/>
        <w:bottom w:val="none" w:sz="0" w:space="0" w:color="auto"/>
        <w:right w:val="none" w:sz="0" w:space="0" w:color="auto"/>
      </w:divBdr>
    </w:div>
    <w:div w:id="1351371415">
      <w:bodyDiv w:val="1"/>
      <w:marLeft w:val="0"/>
      <w:marRight w:val="0"/>
      <w:marTop w:val="0"/>
      <w:marBottom w:val="0"/>
      <w:divBdr>
        <w:top w:val="none" w:sz="0" w:space="0" w:color="auto"/>
        <w:left w:val="none" w:sz="0" w:space="0" w:color="auto"/>
        <w:bottom w:val="none" w:sz="0" w:space="0" w:color="auto"/>
        <w:right w:val="none" w:sz="0" w:space="0" w:color="auto"/>
      </w:divBdr>
    </w:div>
    <w:div w:id="1352754245">
      <w:bodyDiv w:val="1"/>
      <w:marLeft w:val="0"/>
      <w:marRight w:val="0"/>
      <w:marTop w:val="0"/>
      <w:marBottom w:val="0"/>
      <w:divBdr>
        <w:top w:val="none" w:sz="0" w:space="0" w:color="auto"/>
        <w:left w:val="none" w:sz="0" w:space="0" w:color="auto"/>
        <w:bottom w:val="none" w:sz="0" w:space="0" w:color="auto"/>
        <w:right w:val="none" w:sz="0" w:space="0" w:color="auto"/>
      </w:divBdr>
    </w:div>
    <w:div w:id="1380740953">
      <w:bodyDiv w:val="1"/>
      <w:marLeft w:val="0"/>
      <w:marRight w:val="0"/>
      <w:marTop w:val="0"/>
      <w:marBottom w:val="0"/>
      <w:divBdr>
        <w:top w:val="none" w:sz="0" w:space="0" w:color="auto"/>
        <w:left w:val="none" w:sz="0" w:space="0" w:color="auto"/>
        <w:bottom w:val="none" w:sz="0" w:space="0" w:color="auto"/>
        <w:right w:val="none" w:sz="0" w:space="0" w:color="auto"/>
      </w:divBdr>
    </w:div>
    <w:div w:id="1393237900">
      <w:bodyDiv w:val="1"/>
      <w:marLeft w:val="0"/>
      <w:marRight w:val="0"/>
      <w:marTop w:val="0"/>
      <w:marBottom w:val="0"/>
      <w:divBdr>
        <w:top w:val="none" w:sz="0" w:space="0" w:color="auto"/>
        <w:left w:val="none" w:sz="0" w:space="0" w:color="auto"/>
        <w:bottom w:val="none" w:sz="0" w:space="0" w:color="auto"/>
        <w:right w:val="none" w:sz="0" w:space="0" w:color="auto"/>
      </w:divBdr>
    </w:div>
    <w:div w:id="1413162799">
      <w:bodyDiv w:val="1"/>
      <w:marLeft w:val="0"/>
      <w:marRight w:val="0"/>
      <w:marTop w:val="0"/>
      <w:marBottom w:val="0"/>
      <w:divBdr>
        <w:top w:val="none" w:sz="0" w:space="0" w:color="auto"/>
        <w:left w:val="none" w:sz="0" w:space="0" w:color="auto"/>
        <w:bottom w:val="none" w:sz="0" w:space="0" w:color="auto"/>
        <w:right w:val="none" w:sz="0" w:space="0" w:color="auto"/>
      </w:divBdr>
    </w:div>
    <w:div w:id="1431392532">
      <w:bodyDiv w:val="1"/>
      <w:marLeft w:val="0"/>
      <w:marRight w:val="0"/>
      <w:marTop w:val="0"/>
      <w:marBottom w:val="0"/>
      <w:divBdr>
        <w:top w:val="none" w:sz="0" w:space="0" w:color="auto"/>
        <w:left w:val="none" w:sz="0" w:space="0" w:color="auto"/>
        <w:bottom w:val="none" w:sz="0" w:space="0" w:color="auto"/>
        <w:right w:val="none" w:sz="0" w:space="0" w:color="auto"/>
      </w:divBdr>
    </w:div>
    <w:div w:id="1431584083">
      <w:bodyDiv w:val="1"/>
      <w:marLeft w:val="0"/>
      <w:marRight w:val="0"/>
      <w:marTop w:val="0"/>
      <w:marBottom w:val="0"/>
      <w:divBdr>
        <w:top w:val="none" w:sz="0" w:space="0" w:color="auto"/>
        <w:left w:val="none" w:sz="0" w:space="0" w:color="auto"/>
        <w:bottom w:val="none" w:sz="0" w:space="0" w:color="auto"/>
        <w:right w:val="none" w:sz="0" w:space="0" w:color="auto"/>
      </w:divBdr>
    </w:div>
    <w:div w:id="1436243277">
      <w:bodyDiv w:val="1"/>
      <w:marLeft w:val="0"/>
      <w:marRight w:val="0"/>
      <w:marTop w:val="0"/>
      <w:marBottom w:val="0"/>
      <w:divBdr>
        <w:top w:val="none" w:sz="0" w:space="0" w:color="auto"/>
        <w:left w:val="none" w:sz="0" w:space="0" w:color="auto"/>
        <w:bottom w:val="none" w:sz="0" w:space="0" w:color="auto"/>
        <w:right w:val="none" w:sz="0" w:space="0" w:color="auto"/>
      </w:divBdr>
    </w:div>
    <w:div w:id="1523474992">
      <w:bodyDiv w:val="1"/>
      <w:marLeft w:val="0"/>
      <w:marRight w:val="0"/>
      <w:marTop w:val="0"/>
      <w:marBottom w:val="0"/>
      <w:divBdr>
        <w:top w:val="none" w:sz="0" w:space="0" w:color="auto"/>
        <w:left w:val="none" w:sz="0" w:space="0" w:color="auto"/>
        <w:bottom w:val="none" w:sz="0" w:space="0" w:color="auto"/>
        <w:right w:val="none" w:sz="0" w:space="0" w:color="auto"/>
      </w:divBdr>
    </w:div>
    <w:div w:id="1592200519">
      <w:bodyDiv w:val="1"/>
      <w:marLeft w:val="0"/>
      <w:marRight w:val="0"/>
      <w:marTop w:val="0"/>
      <w:marBottom w:val="0"/>
      <w:divBdr>
        <w:top w:val="none" w:sz="0" w:space="0" w:color="auto"/>
        <w:left w:val="none" w:sz="0" w:space="0" w:color="auto"/>
        <w:bottom w:val="none" w:sz="0" w:space="0" w:color="auto"/>
        <w:right w:val="none" w:sz="0" w:space="0" w:color="auto"/>
      </w:divBdr>
    </w:div>
    <w:div w:id="1608274992">
      <w:bodyDiv w:val="1"/>
      <w:marLeft w:val="0"/>
      <w:marRight w:val="0"/>
      <w:marTop w:val="0"/>
      <w:marBottom w:val="0"/>
      <w:divBdr>
        <w:top w:val="none" w:sz="0" w:space="0" w:color="auto"/>
        <w:left w:val="none" w:sz="0" w:space="0" w:color="auto"/>
        <w:bottom w:val="none" w:sz="0" w:space="0" w:color="auto"/>
        <w:right w:val="none" w:sz="0" w:space="0" w:color="auto"/>
      </w:divBdr>
    </w:div>
    <w:div w:id="1648244322">
      <w:bodyDiv w:val="1"/>
      <w:marLeft w:val="0"/>
      <w:marRight w:val="0"/>
      <w:marTop w:val="0"/>
      <w:marBottom w:val="0"/>
      <w:divBdr>
        <w:top w:val="none" w:sz="0" w:space="0" w:color="auto"/>
        <w:left w:val="none" w:sz="0" w:space="0" w:color="auto"/>
        <w:bottom w:val="none" w:sz="0" w:space="0" w:color="auto"/>
        <w:right w:val="none" w:sz="0" w:space="0" w:color="auto"/>
      </w:divBdr>
    </w:div>
    <w:div w:id="1682392069">
      <w:bodyDiv w:val="1"/>
      <w:marLeft w:val="0"/>
      <w:marRight w:val="0"/>
      <w:marTop w:val="0"/>
      <w:marBottom w:val="0"/>
      <w:divBdr>
        <w:top w:val="none" w:sz="0" w:space="0" w:color="auto"/>
        <w:left w:val="none" w:sz="0" w:space="0" w:color="auto"/>
        <w:bottom w:val="none" w:sz="0" w:space="0" w:color="auto"/>
        <w:right w:val="none" w:sz="0" w:space="0" w:color="auto"/>
      </w:divBdr>
    </w:div>
    <w:div w:id="1800952494">
      <w:bodyDiv w:val="1"/>
      <w:marLeft w:val="0"/>
      <w:marRight w:val="0"/>
      <w:marTop w:val="0"/>
      <w:marBottom w:val="0"/>
      <w:divBdr>
        <w:top w:val="none" w:sz="0" w:space="0" w:color="auto"/>
        <w:left w:val="none" w:sz="0" w:space="0" w:color="auto"/>
        <w:bottom w:val="none" w:sz="0" w:space="0" w:color="auto"/>
        <w:right w:val="none" w:sz="0" w:space="0" w:color="auto"/>
      </w:divBdr>
    </w:div>
    <w:div w:id="1960915198">
      <w:bodyDiv w:val="1"/>
      <w:marLeft w:val="0"/>
      <w:marRight w:val="0"/>
      <w:marTop w:val="0"/>
      <w:marBottom w:val="0"/>
      <w:divBdr>
        <w:top w:val="none" w:sz="0" w:space="0" w:color="auto"/>
        <w:left w:val="none" w:sz="0" w:space="0" w:color="auto"/>
        <w:bottom w:val="none" w:sz="0" w:space="0" w:color="auto"/>
        <w:right w:val="none" w:sz="0" w:space="0" w:color="auto"/>
      </w:divBdr>
    </w:div>
    <w:div w:id="1974827597">
      <w:bodyDiv w:val="1"/>
      <w:marLeft w:val="0"/>
      <w:marRight w:val="0"/>
      <w:marTop w:val="0"/>
      <w:marBottom w:val="0"/>
      <w:divBdr>
        <w:top w:val="none" w:sz="0" w:space="0" w:color="auto"/>
        <w:left w:val="none" w:sz="0" w:space="0" w:color="auto"/>
        <w:bottom w:val="none" w:sz="0" w:space="0" w:color="auto"/>
        <w:right w:val="none" w:sz="0" w:space="0" w:color="auto"/>
      </w:divBdr>
    </w:div>
    <w:div w:id="21295469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eighborworks.org/About-Us/Business-Opportunities/Current-Business-Opportunities" TargetMode="External"/><Relationship Id="rId13" Type="http://schemas.microsoft.com/office/2019/05/relationships/documenttasks" Target="documenttasks/documenttask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B6FF6540-18B4-46A3-973E-42D83CAC3EF1}">
    <t:Anchor>
      <t:Comment id="1082271649"/>
    </t:Anchor>
    <t:History>
      <t:Event id="{2AAA05AF-CEDB-4E07-A464-A558D949BCE8}" time="2026-10-05T14:51:50.792Z">
        <t:Attribution userId="S::LWallace@nw.org::6d3f372c-fce9-4aa5-a948-aeab9de2baee" userProvider="AD" userName="Lynne Wallace"/>
        <t:Anchor>
          <t:Comment id="1082271649"/>
        </t:Anchor>
        <t:Create/>
      </t:Event>
      <t:Event id="{5AA6149B-AE58-42A3-AC19-83177F014321}" time="2026-10-05T14:51:50.792Z">
        <t:Attribution userId="S::LWallace@nw.org::6d3f372c-fce9-4aa5-a948-aeab9de2baee" userProvider="AD" userName="Lynne Wallace"/>
        <t:Anchor>
          <t:Comment id="1082271649"/>
        </t:Anchor>
        <t:Assign userId="S::JMulcahy@nw.org::fa870a85-5ae4-4abb-8895-9abe9b21de4b" userProvider="AD" userName="Jessica (Anders) Mulcahy"/>
      </t:Event>
      <t:Event id="{8B94EC43-8527-411A-BF86-F662612B098C}" time="2026-10-05T14:51:50.792Z">
        <t:Attribution userId="S::LWallace@nw.org::6d3f372c-fce9-4aa5-a948-aeab9de2baee" userProvider="AD" userName="Lynne Wallace"/>
        <t:Anchor>
          <t:Comment id="1082271649"/>
        </t:Anchor>
        <t:SetTitle title="@Jessica (Anders) Mulcahy @Art Garcia "/>
      </t:Event>
      <t:Event id="{97BE24B7-E14D-4829-9B46-27679E198375}" time="2026-10-06T10:41:02.791Z">
        <t:Attribution userId="S::lwallace@nw.org::6d3f372c-fce9-4aa5-a948-aeab9de2baee" userProvider="AD" userName="Lynne Wallace"/>
        <t:Progress percentComplete="100"/>
      </t:Event>
    </t:History>
  </t:Task>
  <t:Task id="{2831E9F0-C7F2-4E92-A52F-0977171E16DE}">
    <t:Anchor>
      <t:Comment id="1624684528"/>
    </t:Anchor>
    <t:History>
      <t:Event id="{95E8993D-F73A-44ED-85A6-118DAE29061F}" time="2026-10-05T13:56:26.533Z">
        <t:Attribution userId="S::LWallace@nw.org::6d3f372c-fce9-4aa5-a948-aeab9de2baee" userProvider="AD" userName="Lynne Wallace"/>
        <t:Anchor>
          <t:Comment id="1624684528"/>
        </t:Anchor>
        <t:Create/>
      </t:Event>
      <t:Event id="{61FFE5A2-189E-407D-B04E-6677D9AF6BF4}" time="2026-10-05T13:56:26.533Z">
        <t:Attribution userId="S::LWallace@nw.org::6d3f372c-fce9-4aa5-a948-aeab9de2baee" userProvider="AD" userName="Lynne Wallace"/>
        <t:Anchor>
          <t:Comment id="1624684528"/>
        </t:Anchor>
        <t:Assign userId="S::twilson@nw.org::cfec1802-9dc9-41d5-b9e5-3b079778030b" userProvider="AD" userName="Tenia A. Wilson"/>
      </t:Event>
      <t:Event id="{643AD552-6D3F-4408-BDDC-2ED4B5D77A1F}" time="2026-10-05T13:56:26.533Z">
        <t:Attribution userId="S::LWallace@nw.org::6d3f372c-fce9-4aa5-a948-aeab9de2baee" userProvider="AD" userName="Lynne Wallace"/>
        <t:Anchor>
          <t:Comment id="1624684528"/>
        </t:Anchor>
        <t:SetTitle title="@Tenia A. Wilson "/>
      </t:Event>
    </t:History>
  </t:Task>
  <t:Task id="{2DF855D1-1E6B-44CF-8841-D90BA1D56819}">
    <t:Anchor>
      <t:Comment id="2107539473"/>
    </t:Anchor>
    <t:History>
      <t:Event id="{0A1290FC-1E25-457E-8BD6-49FD8B6842D6}" time="2026-10-05T16:08:37.051Z">
        <t:Attribution userId="S::LWallace@nw.org::6d3f372c-fce9-4aa5-a948-aeab9de2baee" userProvider="AD" userName="Lynne Wallace"/>
        <t:Anchor>
          <t:Comment id="2107539473"/>
        </t:Anchor>
        <t:Create/>
      </t:Event>
      <t:Event id="{0A71645E-0D41-47F4-9367-FAB0BE958089}" time="2026-10-05T16:08:37.051Z">
        <t:Attribution userId="S::LWallace@nw.org::6d3f372c-fce9-4aa5-a948-aeab9de2baee" userProvider="AD" userName="Lynne Wallace"/>
        <t:Anchor>
          <t:Comment id="2107539473"/>
        </t:Anchor>
        <t:Assign userId="S::AGarcia@nw.org::ad1aeef7-ec49-4a58-969f-ccbb0b616311" userProvider="AD" userName="Art Garcia"/>
      </t:Event>
      <t:Event id="{91223F15-557F-4D75-B2BA-B1677F4A8BC1}" time="2026-10-05T16:08:37.051Z">
        <t:Attribution userId="S::LWallace@nw.org::6d3f372c-fce9-4aa5-a948-aeab9de2baee" userProvider="AD" userName="Lynne Wallace"/>
        <t:Anchor>
          <t:Comment id="2107539473"/>
        </t:Anchor>
        <t:SetTitle title="@Art Garcia @Jessica (Anders) Mulcahy "/>
      </t:Event>
      <t:Event id="{73C6131F-A3FA-4BE9-B6A9-82C95EF0CA61}" time="2026-10-06T10:27:08.066Z">
        <t:Attribution userId="S::lwallace@nw.org::6d3f372c-fce9-4aa5-a948-aeab9de2baee" userProvider="AD" userName="Lynne Wallace"/>
        <t:Progress percentComplete="100"/>
      </t:Event>
    </t:History>
  </t:Task>
  <t:Task id="{334CB1DD-EF06-4089-B35C-C5DF2A4A56EB}">
    <t:Anchor>
      <t:Comment id="324678529"/>
    </t:Anchor>
    <t:History>
      <t:Event id="{B43E847F-CC3C-4B4A-8CD8-0C6504ED1BC2}" time="2026-10-05T16:05:06.711Z">
        <t:Attribution userId="S::LWallace@nw.org::6d3f372c-fce9-4aa5-a948-aeab9de2baee" userProvider="AD" userName="Lynne Wallace"/>
        <t:Anchor>
          <t:Comment id="324678529"/>
        </t:Anchor>
        <t:Create/>
      </t:Event>
      <t:Event id="{42D823BD-8F56-464E-B169-618323EE9DA1}" time="2026-10-05T16:05:06.711Z">
        <t:Attribution userId="S::LWallace@nw.org::6d3f372c-fce9-4aa5-a948-aeab9de2baee" userProvider="AD" userName="Lynne Wallace"/>
        <t:Anchor>
          <t:Comment id="324678529"/>
        </t:Anchor>
        <t:Assign userId="S::twilson@nw.org::cfec1802-9dc9-41d5-b9e5-3b079778030b" userProvider="AD" userName="Tenia A. Wilson"/>
      </t:Event>
      <t:Event id="{23992090-E132-41C4-91B7-AC064A24A5A3}" time="2026-10-05T16:05:06.711Z">
        <t:Attribution userId="S::LWallace@nw.org::6d3f372c-fce9-4aa5-a948-aeab9de2baee" userProvider="AD" userName="Lynne Wallace"/>
        <t:Anchor>
          <t:Comment id="324678529"/>
        </t:Anchor>
        <t:SetTitle title="@Tenia A. Wilson @Jessica (Anders) Mulcahy @Art Garcia I believe this references work samples maybe. What do you think is the best way to answer?"/>
      </t:Event>
    </t:History>
  </t:Task>
  <t:Task id="{C43F4C2B-4EF3-4C9B-9FCA-6004800F020B}">
    <t:Anchor>
      <t:Comment id="1397881142"/>
    </t:Anchor>
    <t:History>
      <t:Event id="{B3F4529D-ACD2-447D-8B35-AE91607A5649}" time="2026-10-05T14:03:44.65Z">
        <t:Attribution userId="S::LWallace@nw.org::6d3f372c-fce9-4aa5-a948-aeab9de2baee" userProvider="AD" userName="Lynne Wallace"/>
        <t:Anchor>
          <t:Comment id="1397881142"/>
        </t:Anchor>
        <t:Create/>
      </t:Event>
      <t:Event id="{51E7F219-5908-4598-ADAD-7514CB6CE8AD}" time="2026-10-05T14:03:44.65Z">
        <t:Attribution userId="S::LWallace@nw.org::6d3f372c-fce9-4aa5-a948-aeab9de2baee" userProvider="AD" userName="Lynne Wallace"/>
        <t:Anchor>
          <t:Comment id="1397881142"/>
        </t:Anchor>
        <t:Assign userId="S::twilson@nw.org::cfec1802-9dc9-41d5-b9e5-3b079778030b" userProvider="AD" userName="Tenia A. Wilson"/>
      </t:Event>
      <t:Event id="{25E973E3-4FD8-4FB3-A6C5-EFBB245731DD}" time="2026-10-05T14:03:44.65Z">
        <t:Attribution userId="S::LWallace@nw.org::6d3f372c-fce9-4aa5-a948-aeab9de2baee" userProvider="AD" userName="Lynne Wallace"/>
        <t:Anchor>
          <t:Comment id="1397881142"/>
        </t:Anchor>
        <t:SetTitle title="@Tenia A. Wilson I can do the invoicing answer, please coordinate with Procurement on Insurance"/>
      </t:Event>
      <t:Event id="{038C161B-8F71-43F2-AB96-09AE33A25D2E}" time="2026-10-05T21:29:55.745Z">
        <t:Attribution userId="S::twilson@nw.org::cfec1802-9dc9-41d5-b9e5-3b079778030b" userProvider="AD" userName="Tenia A. Wilson"/>
        <t:Anchor>
          <t:Comment id="1165031861"/>
        </t:Anchor>
        <t:UnassignAll/>
      </t:Event>
      <t:Event id="{A2196812-EFE9-4D11-9519-BD75D85C2A87}" time="2026-10-05T21:29:55.745Z">
        <t:Attribution userId="S::twilson@nw.org::cfec1802-9dc9-41d5-b9e5-3b079778030b" userProvider="AD" userName="Tenia A. Wilson"/>
        <t:Anchor>
          <t:Comment id="1165031861"/>
        </t:Anchor>
        <t:Assign userId="S::LWallace@nw.org::6d3f372c-fce9-4aa5-a948-aeab9de2baee" userProvider="AD" userName="Lynne Wallace"/>
      </t:Event>
      <t:Event id="{72AA8F50-9E90-444D-94FE-60C535FA98E2}" time="2026-10-06T10:44:48.084Z">
        <t:Attribution userId="S::lwallace@nw.org::6d3f372c-fce9-4aa5-a948-aeab9de2baee" userProvider="AD" userName="Lynne Wallace"/>
        <t:Progress percentComplete="100"/>
      </t:Event>
    </t:History>
  </t:Task>
  <t:Task id="{A75D0301-911C-4902-AB65-C32017FC778A}">
    <t:Anchor>
      <t:Comment id="2011501835"/>
    </t:Anchor>
    <t:History>
      <t:Event id="{1A44CB9E-6D72-4A67-8F34-1D5906FADBDC}" time="2026-10-05T14:52:03.829Z">
        <t:Attribution userId="S::LWallace@nw.org::6d3f372c-fce9-4aa5-a948-aeab9de2baee" userProvider="AD" userName="Lynne Wallace"/>
        <t:Anchor>
          <t:Comment id="2011501835"/>
        </t:Anchor>
        <t:Create/>
      </t:Event>
      <t:Event id="{B4727EC3-272E-4028-83A8-6B0E9C5DEFB9}" time="2026-10-05T14:52:03.829Z">
        <t:Attribution userId="S::LWallace@nw.org::6d3f372c-fce9-4aa5-a948-aeab9de2baee" userProvider="AD" userName="Lynne Wallace"/>
        <t:Anchor>
          <t:Comment id="2011501835"/>
        </t:Anchor>
        <t:Assign userId="S::JMulcahy@nw.org::fa870a85-5ae4-4abb-8895-9abe9b21de4b" userProvider="AD" userName="Jessica (Anders) Mulcahy"/>
      </t:Event>
      <t:Event id="{C844FAA1-34CD-4D58-8FBC-105E80281001}" time="2026-10-05T14:52:03.829Z">
        <t:Attribution userId="S::LWallace@nw.org::6d3f372c-fce9-4aa5-a948-aeab9de2baee" userProvider="AD" userName="Lynne Wallace"/>
        <t:Anchor>
          <t:Comment id="2011501835"/>
        </t:Anchor>
        <t:SetTitle title="@Jessica (Anders) Mulcahy @Art Garcia "/>
      </t:Event>
      <t:Event id="{A160F8A0-1595-407F-8FBC-8B3DA6CF86BC}" time="2026-10-06T10:40:27.83Z">
        <t:Attribution userId="S::lwallace@nw.org::6d3f372c-fce9-4aa5-a948-aeab9de2baee" userProvider="AD" userName="Lynne Wallace"/>
        <t:Progress percentComplete="100"/>
      </t:Event>
    </t:History>
  </t:Task>
  <t:Task id="{F413CD52-E8B5-4BAD-A88C-C719748D91B2}">
    <t:Anchor>
      <t:Comment id="1338863102"/>
    </t:Anchor>
    <t:History>
      <t:Event id="{685921B4-CDAC-464D-8B11-19B7BD370201}" time="2026-10-05T16:09:54.477Z">
        <t:Attribution userId="S::LWallace@nw.org::6d3f372c-fce9-4aa5-a948-aeab9de2baee" userProvider="AD" userName="Lynne Wallace"/>
        <t:Anchor>
          <t:Comment id="1338863102"/>
        </t:Anchor>
        <t:Create/>
      </t:Event>
      <t:Event id="{16EE9D54-0D9A-424A-BF51-1F082E15D5A6}" time="2026-10-05T16:09:54.477Z">
        <t:Attribution userId="S::LWallace@nw.org::6d3f372c-fce9-4aa5-a948-aeab9de2baee" userProvider="AD" userName="Lynne Wallace"/>
        <t:Anchor>
          <t:Comment id="1338863102"/>
        </t:Anchor>
        <t:Assign userId="S::twilson@nw.org::cfec1802-9dc9-41d5-b9e5-3b079778030b" userProvider="AD" userName="Tenia A. Wilson"/>
      </t:Event>
      <t:Event id="{152136B8-A99D-4BA7-8771-14C216BC44A8}" time="2026-10-05T16:09:54.477Z">
        <t:Attribution userId="S::LWallace@nw.org::6d3f372c-fce9-4aa5-a948-aeab9de2baee" userProvider="AD" userName="Lynne Wallace"/>
        <t:Anchor>
          <t:Comment id="1338863102"/>
        </t:Anchor>
        <t:SetTitle title="@Tenia A. Wilson @Jessica (Anders) Mulcahy @Art Garcia need Jessica and Art’s weigh in and then Procurement and maybe OGC will need to answer. "/>
      </t:Event>
      <t:Event id="{91228EFE-1D8F-4423-946F-E51FBDA2CCFC}" time="2026-10-06T10:26:04.481Z">
        <t:Attribution userId="S::lwallace@nw.org::6d3f372c-fce9-4aa5-a948-aeab9de2baee" userProvider="AD" userName="Lynne Wallace"/>
        <t:Progress percentComplete="100"/>
      </t:Event>
    </t:History>
  </t:Task>
  <t:Task id="{1F4E7560-D8FC-4572-813F-BBD3EA1EB11F}">
    <t:Anchor>
      <t:Comment id="1208982523"/>
    </t:Anchor>
    <t:History>
      <t:Event id="{8BB0A8B2-70A2-410C-A00C-70015C4D5086}" time="2026-10-05T16:12:19.459Z">
        <t:Attribution userId="S::LWallace@nw.org::6d3f372c-fce9-4aa5-a948-aeab9de2baee" userProvider="AD" userName="Lynne Wallace"/>
        <t:Anchor>
          <t:Comment id="1208982523"/>
        </t:Anchor>
        <t:Create/>
      </t:Event>
      <t:Event id="{89E433A5-BFF3-4A66-B4E8-E6D83931D02D}" time="2026-10-05T16:12:19.459Z">
        <t:Attribution userId="S::LWallace@nw.org::6d3f372c-fce9-4aa5-a948-aeab9de2baee" userProvider="AD" userName="Lynne Wallace"/>
        <t:Anchor>
          <t:Comment id="1208982523"/>
        </t:Anchor>
        <t:Assign userId="S::twilson@nw.org::cfec1802-9dc9-41d5-b9e5-3b079778030b" userProvider="AD" userName="Tenia A. Wilson"/>
      </t:Event>
      <t:Event id="{0DD97C2C-AFCD-4A59-BEA9-B98AA3118CF0}" time="2026-10-05T16:12:19.459Z">
        <t:Attribution userId="S::LWallace@nw.org::6d3f372c-fce9-4aa5-a948-aeab9de2baee" userProvider="AD" userName="Lynne Wallace"/>
        <t:Anchor>
          <t:Comment id="1208982523"/>
        </t:Anchor>
        <t:SetTitle title="@Tenia A. Wilson @Jessica (Anders) Mulcahy @Art Garcia is the accurate answer?"/>
      </t:Event>
      <t:Event id="{67076A65-2F01-4EC4-B3ED-43656BD45EC3}" time="2026-10-06T10:24:02.958Z">
        <t:Attribution userId="S::lwallace@nw.org::6d3f372c-fce9-4aa5-a948-aeab9de2baee" userProvider="AD" userName="Lynne Wallace"/>
        <t:Progress percentComplete="100"/>
      </t:Event>
    </t:History>
  </t:Task>
  <t:Task id="{148CFC5E-DBE4-4DA8-A28F-0063AAB9A422}">
    <t:Anchor>
      <t:Comment id="1430360659"/>
    </t:Anchor>
    <t:History>
      <t:Event id="{F83F78D0-3BC8-4202-9885-2E739DE46C6C}" time="2026-10-05T16:27:55.468Z">
        <t:Attribution userId="S::LWallace@nw.org::6d3f372c-fce9-4aa5-a948-aeab9de2baee" userProvider="AD" userName="Lynne Wallace"/>
        <t:Anchor>
          <t:Comment id="1430360659"/>
        </t:Anchor>
        <t:Create/>
      </t:Event>
      <t:Event id="{C45A5985-28AF-4A59-B8D8-CAC6F339571E}" time="2026-10-05T16:27:55.468Z">
        <t:Attribution userId="S::LWallace@nw.org::6d3f372c-fce9-4aa5-a948-aeab9de2baee" userProvider="AD" userName="Lynne Wallace"/>
        <t:Anchor>
          <t:Comment id="1430360659"/>
        </t:Anchor>
        <t:Assign userId="S::twilson@nw.org::cfec1802-9dc9-41d5-b9e5-3b079778030b" userProvider="AD" userName="Tenia A. Wilson"/>
      </t:Event>
      <t:Event id="{8719FDAC-47B0-4643-86B6-7003EE2FD319}" time="2026-10-05T16:27:55.468Z">
        <t:Attribution userId="S::LWallace@nw.org::6d3f372c-fce9-4aa5-a948-aeab9de2baee" userProvider="AD" userName="Lynne Wallace"/>
        <t:Anchor>
          <t:Comment id="1430360659"/>
        </t:Anchor>
        <t:SetTitle title="@Tenia A. Wilson "/>
      </t:Event>
      <t:Event id="{D2E2BBDA-CEEB-401A-A080-FD0F9FD73AC7}" time="2026-10-05T21:18:26.251Z">
        <t:Attribution userId="S::twilson@nw.org::cfec1802-9dc9-41d5-b9e5-3b079778030b" userProvider="AD" userName="Tenia A. Wilson"/>
        <t:Progress percentComplete="100"/>
      </t:Event>
      <t:Event id="{ED7F6A3F-B952-48AA-BC11-BF4CCC4655E9}" time="2026-10-05T21:18:55.114Z">
        <t:Attribution userId="S::twilson@nw.org::cfec1802-9dc9-41d5-b9e5-3b079778030b" userProvider="AD" userName="Tenia A. Wilson"/>
        <t:Progress percentComplete="0"/>
      </t:Event>
    </t:History>
  </t:Task>
  <t:Task id="{2A9C96F4-3797-41D5-996A-4E3B02326F43}">
    <t:Anchor>
      <t:Comment id="54454407"/>
    </t:Anchor>
    <t:History>
      <t:Event id="{4AC48A50-9AC4-48C9-80B2-E300C6FEDC5C}" time="2026-10-06T10:47:45.092Z">
        <t:Attribution userId="S::lwallace@nw.org::6d3f372c-fce9-4aa5-a948-aeab9de2baee" userProvider="AD" userName="Lynne Wallace"/>
        <t:Anchor>
          <t:Comment id="54454407"/>
        </t:Anchor>
        <t:Create/>
      </t:Event>
      <t:Event id="{DC3BED74-FEF9-4ACF-8CF7-FB0BF064C97F}" time="2026-10-06T10:47:45.092Z">
        <t:Attribution userId="S::lwallace@nw.org::6d3f372c-fce9-4aa5-a948-aeab9de2baee" userProvider="AD" userName="Lynne Wallace"/>
        <t:Anchor>
          <t:Comment id="54454407"/>
        </t:Anchor>
        <t:Assign userId="S::twilson@nw.org::cfec1802-9dc9-41d5-b9e5-3b079778030b" userProvider="AD" userName="Tenia A. Wilson"/>
      </t:Event>
      <t:Event id="{5D82D88B-12BB-450E-96DF-66805865EF04}" time="2026-10-06T10:47:45.092Z">
        <t:Attribution userId="S::lwallace@nw.org::6d3f372c-fce9-4aa5-a948-aeab9de2baee" userProvider="AD" userName="Lynne Wallace"/>
        <t:Anchor>
          <t:Comment id="54454407"/>
        </t:Anchor>
        <t:SetTitle title="@Tenia A. Wilson this actually doesn't make sense to me, and didn't in the webinar when Tiera said it. The whole purpose of including the information in Achemer is to have one place and one time to collect the information. This eliminates the errors …"/>
      </t:Event>
    </t:History>
  </t:Task>
  <t:Task id="{18A47DFB-818B-4D28-8668-0898102D0010}">
    <t:Anchor>
      <t:Comment id="546419873"/>
    </t:Anchor>
    <t:History>
      <t:Event id="{A09779B6-42A7-491E-801B-394BFD55D77B}" time="2026-10-06T13:56:53.75Z">
        <t:Attribution userId="S::lwallace@nw.org::6d3f372c-fce9-4aa5-a948-aeab9de2baee" userProvider="AD" userName="Lynne Wallace"/>
        <t:Anchor>
          <t:Comment id="546419873"/>
        </t:Anchor>
        <t:Create/>
      </t:Event>
      <t:Event id="{29FDC9AB-934E-4097-B857-B9206B188EE0}" time="2026-10-06T13:56:53.75Z">
        <t:Attribution userId="S::lwallace@nw.org::6d3f372c-fce9-4aa5-a948-aeab9de2baee" userProvider="AD" userName="Lynne Wallace"/>
        <t:Anchor>
          <t:Comment id="546419873"/>
        </t:Anchor>
        <t:Assign userId="S::twilson@nw.org::cfec1802-9dc9-41d5-b9e5-3b079778030b" userProvider="AD" userName="Tenia A. Wilson"/>
      </t:Event>
      <t:Event id="{0361B556-3ED5-454C-BEF5-CB7514C14C70}" time="2026-10-06T13:56:53.75Z">
        <t:Attribution userId="S::lwallace@nw.org::6d3f372c-fce9-4aa5-a948-aeab9de2baee" userProvider="AD" userName="Lynne Wallace"/>
        <t:Anchor>
          <t:Comment id="546419873"/>
        </t:Anchor>
        <t:SetTitle title="@Tenia A. Wilson This needs to be clarified with Procurement. Please facilitate that and resolve. The purpose of including the information in Achemer is to have one place and to collect the information one time. This eliminates the errors and issues …"/>
      </t:Event>
    </t:History>
  </t:Task>
  <t:Task id="{2A676C1A-2CAA-44DF-81DE-F3281EA4355F}">
    <t:Anchor>
      <t:Comment id="228733916"/>
    </t:Anchor>
    <t:History>
      <t:Event id="{EC5A1F51-B4A4-420D-B162-75098CB4DBC8}" time="2026-10-06T18:01:04.123Z">
        <t:Attribution userId="S::jmulcahy@nw.org::fa870a85-5ae4-4abb-8895-9abe9b21de4b" userProvider="AD" userName="Jessica (Anders) Mulcahy"/>
        <t:Anchor>
          <t:Comment id="228733916"/>
        </t:Anchor>
        <t:Create/>
      </t:Event>
      <t:Event id="{BF913450-7483-473E-858A-0CAE04C81BD8}" time="2026-10-06T18:01:04.123Z">
        <t:Attribution userId="S::jmulcahy@nw.org::fa870a85-5ae4-4abb-8895-9abe9b21de4b" userProvider="AD" userName="Jessica (Anders) Mulcahy"/>
        <t:Anchor>
          <t:Comment id="228733916"/>
        </t:Anchor>
        <t:Assign userId="S::LWallace@nw.org::6d3f372c-fce9-4aa5-a948-aeab9de2baee" userProvider="AD" userName="Lynne Wallace"/>
      </t:Event>
      <t:Event id="{530D9846-15BE-4C7B-A892-690A422CAEFD}" time="2026-10-06T18:01:04.123Z">
        <t:Attribution userId="S::jmulcahy@nw.org::fa870a85-5ae4-4abb-8895-9abe9b21de4b" userProvider="AD" userName="Jessica (Anders) Mulcahy"/>
        <t:Anchor>
          <t:Comment id="228733916"/>
        </t:Anchor>
        <t:SetTitle title="@Lynne Wallace maybe add &quot;but applicants will only be assessed on the categories within the RFP&quot;?"/>
      </t:Event>
      <t:Event id="{73D7ECE4-E869-40EA-A89F-729068481422}" time="2026-10-06T18:06:36.349Z">
        <t:Attribution userId="S::lwallace@nw.org::6d3f372c-fce9-4aa5-a948-aeab9de2baee" userProvider="AD" userName="Lynne Wallac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wDY6tfWZW2Gl4TI90/fa1zgdHg==">AMUW2mWXhEIL9ZRd+ei0iUrxKQo+MOL9AsH+v0ZrWVHpKRYL17WdArdqJBFcyIBEZMu4x+OEGvZ1IRgi+2AUv4MryylJp+ALNcB5xAkeA4wXWgp8B68hmt0=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9</Pages>
  <Words>3562</Words>
  <Characters>20310</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Marva Oxley</dc:creator>
  <cp:keywords/>
  <cp:lastModifiedBy>Tiera Day</cp:lastModifiedBy>
  <cp:revision>7</cp:revision>
  <dcterms:created xsi:type="dcterms:W3CDTF">2026-10-16T12:41:00Z</dcterms:created>
  <dcterms:modified xsi:type="dcterms:W3CDTF">2026-10-16T15:31:00Z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0x0101005DF48420A342CE48A337A58C8D67043C</vt:lpwstr>
  </property>
</Properties>
</file>